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скласти індивідуальний навчальний план</w:t>
        <w:br/>
        <w:t>для інклюзивного навчання</w:t>
      </w:r>
    </w:p>
    <w:p>
      <w:pPr>
        <w:spacing w:after="100"/>
      </w:pPr>
      <w:r>
        <w:rPr>
          <w:b w:val="0"/>
        </w:rPr>
        <w:t>ІНП допомагає зафіксувати предмети, години та навантаження конкретного учня. Почніть із порожнього бланка, використовуйте приклад для розуміння полів і перевірте документ за окремим чеклістом.</w:t>
      </w:r>
    </w:p>
    <w:p>
      <w:pPr>
        <w:pStyle w:val="Heading1"/>
      </w:pPr>
      <w:r>
        <w:t>Коли готують ІНП</w:t>
      </w:r>
    </w:p>
    <w:p>
      <w:pPr>
        <w:spacing w:after="100"/>
      </w:pPr>
      <w:r>
        <w:rPr>
          <w:b w:val="0"/>
        </w:rPr>
        <w:t>За пунктом 14 Порядку №957 ІНП складають за потреби для учнів, які потребують другого–п’ятого рівня підтримки. Сам факт навчання в інклюзивному класі не означає, що всім потрібен однаковий план. Потребу розглядає команда супроводу.</w:t>
      </w:r>
    </w:p>
    <w:p>
      <w:pPr>
        <w:pStyle w:val="Heading1"/>
      </w:pPr>
      <w:r>
        <w:t>Що взяти перед заповненням</w:t>
      </w:r>
    </w:p>
    <w:p>
      <w:pPr>
        <w:spacing w:after="100"/>
      </w:pPr>
      <w:r>
        <w:rPr>
          <w:b w:val="0"/>
        </w:rPr>
        <w:t>Підготуйте освітню програму та навчальний план закладу для відповідного класу, актуальний висновок ІРЦ, ІПР учня і рішення команди щодо організації його навчання. Використовуйте документи конкретного учня та поточного навчального року.</w:t>
      </w:r>
    </w:p>
    <w:p>
      <w:pPr>
        <w:pStyle w:val="Heading1"/>
      </w:pPr>
      <w:r>
        <w:t>Послідовність роботи</w:t>
      </w:r>
    </w:p>
    <w:p>
      <w:pPr>
        <w:spacing w:after="100"/>
      </w:pPr>
      <w:r>
        <w:rPr>
          <w:b w:val="0"/>
          <w:sz w:val="20"/>
        </w:rPr>
        <w:t>1. Укажіть назву закладу, прізвище та власне ім’я учня, клас і навчальний рік. У бланку додано робочі поля для періоду дії, підстав і рішення команди.</w:t>
      </w:r>
    </w:p>
    <w:p>
      <w:pPr>
        <w:spacing w:after="100"/>
      </w:pPr>
      <w:r>
        <w:rPr>
          <w:b w:val="0"/>
          <w:sz w:val="20"/>
        </w:rPr>
        <w:t>2. Внесіть усі навчальні предмети та інтегровані курси й кількість годин на тиждень. Не копіюйте числа зі зразка: звірте їх з освітньою програмою закладу та індивідуальними рішеннями.</w:t>
      </w:r>
    </w:p>
    <w:p>
      <w:pPr>
        <w:spacing w:after="100"/>
      </w:pPr>
      <w:r>
        <w:rPr>
          <w:b w:val="0"/>
          <w:sz w:val="20"/>
        </w:rPr>
        <w:t>3. Окремо внесіть корекційно-розвиткові напрями та години за ІПР з урахуванням висновку ІРЦ. Не встановлюйте однаковий набір послуг усім учням одного рівня підтримки.</w:t>
      </w:r>
    </w:p>
    <w:p>
      <w:pPr>
        <w:spacing w:after="100"/>
      </w:pPr>
      <w:r>
        <w:rPr>
          <w:b w:val="0"/>
          <w:sz w:val="20"/>
        </w:rPr>
        <w:t>4. Порахуйте підсумки. Зазначте гранично допустиме тижневе навантаження, джерело цього показника та правила врахування окремих занять.</w:t>
      </w:r>
    </w:p>
    <w:p>
      <w:pPr>
        <w:spacing w:after="100"/>
      </w:pPr>
      <w:r>
        <w:rPr>
          <w:b w:val="0"/>
          <w:sz w:val="20"/>
        </w:rPr>
        <w:t>5. Опишіть організацію навчання й участь у контрольних заходах; за потреби конкретизуйте відмінні форму, послідовність або темп засвоєння освітніх компонентів.</w:t>
      </w:r>
    </w:p>
    <w:p>
      <w:pPr>
        <w:spacing w:after="100"/>
      </w:pPr>
      <w:r>
        <w:rPr>
          <w:b w:val="0"/>
          <w:sz w:val="20"/>
        </w:rPr>
        <w:t>6. Організуйте схвалення педагогічною радою, затвердження керівником і підписання одним із батьків або законним представником. Команда розробляє ІНП за участю вчителів відповідних предметів.</w:t>
      </w:r>
    </w:p>
    <w:p>
      <w:pPr>
        <w:pStyle w:val="Heading1"/>
      </w:pPr>
      <w:r>
        <w:t>Як пов’язані ІНП та ІПР</w:t>
      </w:r>
    </w:p>
    <w:p>
      <w:pPr>
        <w:spacing w:after="100"/>
      </w:pPr>
      <w:r>
        <w:rPr>
          <w:b w:val="0"/>
          <w:sz w:val="20"/>
        </w:rPr>
        <w:t>ІПР описує потреби, цілі та підтримку учня. В ІНП фіксуйте погоджені предмети, години й навантаження та необхідну організацію навчання. Інформацію про адаптацію або модифікацію предметів, очікувані результати й оцінювання оформлюють за додатком 4 до Порядку №957 і додають до протоколу підсумкового засідання команди супроводу. Наш бланк ІНП цю окрему форму не замінює.</w:t>
      </w:r>
    </w:p>
    <w:p>
      <w:r>
        <w:br w:type="page"/>
      </w:r>
    </w:p>
    <w:p>
      <w:pPr>
        <w:pStyle w:val="Title"/>
      </w:pPr>
      <w:r>
        <w:t>Як перевірити години та оформлення ІНП</w:t>
      </w:r>
    </w:p>
    <w:p>
      <w:pPr>
        <w:pStyle w:val="Heading1"/>
      </w:pPr>
      <w:r>
        <w:t>Підрахунок навантаження</w:t>
      </w:r>
    </w:p>
    <w:p>
      <w:pPr>
        <w:spacing w:after="100"/>
      </w:pPr>
      <w:r>
        <w:rPr>
          <w:b w:val="0"/>
        </w:rPr>
        <w:t>Спочатку окремо підсумуйте предмети та корекційно-розвиткові напрями. Потім визначте показник, який потрібно порівняти з граничним: застосуйте примітки освітньої програми, а не лише арифметичну суму всіх рядків. Психолого-педагогічні та корекційно-розвиткові заняття до граничного навантаження не зараховують за пунктом 11 Порядку №957.</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5" w:type="dxa"/>
          <w:bottom w:w="75" w:type="dxa"/>
          <w:left w:w="75" w:type="dxa"/>
          <w:right w:w="75" w:type="dxa"/>
        </w:tblCellMar>
      </w:tblPr>
      <w:tblGrid>
        <w:gridCol w:w="7560"/>
        <w:gridCol w:w="2722"/>
      </w:tblGrid>
      <w:tr>
        <w:trPr>
          <w:cantSplit/>
          <w:tblHeader/>
        </w:trPr>
        <w:tc>
          <w:tcPr>
            <w:tcW w:type="dxa" w:w="7560"/>
            <w:vAlign w:val="center"/>
            <w:shd w:fill="E8EFF5"/>
          </w:tcPr>
          <w:p>
            <w:pPr>
              <w:spacing w:after="0" w:line="245" w:lineRule="auto"/>
            </w:pPr>
            <w:r>
              <w:rPr>
                <w:b/>
                <w:sz w:val="20"/>
              </w:rPr>
              <w:t>Показник у навчальному прикладі</w:t>
            </w:r>
          </w:p>
        </w:tc>
        <w:tc>
          <w:tcPr>
            <w:tcW w:type="dxa" w:w="2722"/>
            <w:vAlign w:val="center"/>
            <w:shd w:fill="E8EFF5"/>
          </w:tcPr>
          <w:p>
            <w:pPr>
              <w:spacing w:after="0" w:line="245" w:lineRule="auto"/>
            </w:pPr>
            <w:r>
              <w:rPr>
                <w:b/>
                <w:sz w:val="20"/>
              </w:rPr>
              <w:t>Розрахунок</w:t>
            </w:r>
          </w:p>
        </w:tc>
      </w:tr>
      <w:tr>
        <w:trPr>
          <w:cantSplit/>
        </w:trPr>
        <w:tc>
          <w:tcPr>
            <w:tcW w:type="dxa" w:w="7560"/>
            <w:vAlign w:val="center"/>
            <w:shd w:fill="FFFFFF"/>
          </w:tcPr>
          <w:p>
            <w:pPr>
              <w:spacing w:after="0" w:line="245" w:lineRule="auto"/>
            </w:pPr>
            <w:r>
              <w:rPr>
                <w:b w:val="0"/>
                <w:sz w:val="20"/>
              </w:rPr>
              <w:t>Предмети та курси</w:t>
            </w:r>
          </w:p>
        </w:tc>
        <w:tc>
          <w:tcPr>
            <w:tcW w:type="dxa" w:w="2722"/>
            <w:vAlign w:val="center"/>
            <w:shd w:fill="FFFFFF"/>
          </w:tcPr>
          <w:p>
            <w:pPr>
              <w:spacing w:after="0" w:line="245" w:lineRule="auto"/>
            </w:pPr>
            <w:r>
              <w:rPr>
                <w:b w:val="0"/>
                <w:sz w:val="20"/>
              </w:rPr>
              <w:t>А = 26</w:t>
            </w:r>
          </w:p>
        </w:tc>
      </w:tr>
      <w:tr>
        <w:trPr>
          <w:cantSplit/>
        </w:trPr>
        <w:tc>
          <w:tcPr>
            <w:tcW w:type="dxa" w:w="7560"/>
            <w:vAlign w:val="center"/>
            <w:shd w:fill="FFFFFF"/>
          </w:tcPr>
          <w:p>
            <w:pPr>
              <w:spacing w:after="0" w:line="245" w:lineRule="auto"/>
            </w:pPr>
            <w:r>
              <w:rPr>
                <w:b w:val="0"/>
                <w:sz w:val="20"/>
              </w:rPr>
              <w:t>Корекційно-розвиткові напрями</w:t>
            </w:r>
          </w:p>
        </w:tc>
        <w:tc>
          <w:tcPr>
            <w:tcW w:type="dxa" w:w="2722"/>
            <w:vAlign w:val="center"/>
            <w:shd w:fill="FFFFFF"/>
          </w:tcPr>
          <w:p>
            <w:pPr>
              <w:spacing w:after="0" w:line="245" w:lineRule="auto"/>
            </w:pPr>
            <w:r>
              <w:rPr>
                <w:b w:val="0"/>
                <w:sz w:val="20"/>
              </w:rPr>
              <w:t>Б = 2 + 2 = 4</w:t>
            </w:r>
          </w:p>
        </w:tc>
      </w:tr>
      <w:tr>
        <w:trPr>
          <w:cantSplit/>
        </w:trPr>
        <w:tc>
          <w:tcPr>
            <w:tcW w:type="dxa" w:w="7560"/>
            <w:vAlign w:val="center"/>
            <w:shd w:fill="FFFFFF"/>
          </w:tcPr>
          <w:p>
            <w:pPr>
              <w:spacing w:after="0" w:line="245" w:lineRule="auto"/>
            </w:pPr>
            <w:r>
              <w:rPr>
                <w:b w:val="0"/>
                <w:sz w:val="20"/>
              </w:rPr>
              <w:t>Сумарний плановий обсяг</w:t>
            </w:r>
          </w:p>
        </w:tc>
        <w:tc>
          <w:tcPr>
            <w:tcW w:type="dxa" w:w="2722"/>
            <w:vAlign w:val="center"/>
            <w:shd w:fill="FFFFFF"/>
          </w:tcPr>
          <w:p>
            <w:pPr>
              <w:spacing w:after="0" w:line="245" w:lineRule="auto"/>
            </w:pPr>
            <w:r>
              <w:rPr>
                <w:b w:val="0"/>
                <w:sz w:val="20"/>
              </w:rPr>
              <w:t>В = 26 + 4 = 30</w:t>
            </w:r>
          </w:p>
        </w:tc>
      </w:tr>
      <w:tr>
        <w:trPr>
          <w:cantSplit/>
        </w:trPr>
        <w:tc>
          <w:tcPr>
            <w:tcW w:type="dxa" w:w="7560"/>
            <w:vAlign w:val="center"/>
            <w:shd w:fill="FFFFFF"/>
          </w:tcPr>
          <w:p>
            <w:pPr>
              <w:spacing w:after="0" w:line="245" w:lineRule="auto"/>
            </w:pPr>
            <w:r>
              <w:rPr>
                <w:b w:val="0"/>
                <w:sz w:val="20"/>
              </w:rPr>
              <w:t>За умовою прикладу фізкультура виключається з порівняння</w:t>
            </w:r>
          </w:p>
        </w:tc>
        <w:tc>
          <w:tcPr>
            <w:tcW w:type="dxa" w:w="2722"/>
            <w:vAlign w:val="center"/>
            <w:shd w:fill="FFFFFF"/>
          </w:tcPr>
          <w:p>
            <w:pPr>
              <w:spacing w:after="0" w:line="245" w:lineRule="auto"/>
            </w:pPr>
            <w:r>
              <w:rPr>
                <w:b w:val="0"/>
                <w:sz w:val="20"/>
              </w:rPr>
              <w:t>Г = 26 − 3 = 23</w:t>
            </w:r>
          </w:p>
        </w:tc>
      </w:tr>
      <w:tr>
        <w:trPr>
          <w:cantSplit/>
        </w:trPr>
        <w:tc>
          <w:tcPr>
            <w:tcW w:type="dxa" w:w="7560"/>
            <w:vAlign w:val="center"/>
            <w:shd w:fill="FFFFFF"/>
          </w:tcPr>
          <w:p>
            <w:pPr>
              <w:spacing w:after="0" w:line="245" w:lineRule="auto"/>
            </w:pPr>
            <w:r>
              <w:rPr>
                <w:b w:val="0"/>
                <w:sz w:val="20"/>
              </w:rPr>
              <w:t>Порівняння з умовним граничним показником 23</w:t>
            </w:r>
          </w:p>
        </w:tc>
        <w:tc>
          <w:tcPr>
            <w:tcW w:type="dxa" w:w="2722"/>
            <w:vAlign w:val="center"/>
            <w:shd w:fill="FFFFFF"/>
          </w:tcPr>
          <w:p>
            <w:pPr>
              <w:spacing w:after="0" w:line="245" w:lineRule="auto"/>
            </w:pPr>
            <w:r>
              <w:rPr>
                <w:b w:val="0"/>
                <w:sz w:val="20"/>
              </w:rPr>
              <w:t>23 ≤ 23</w:t>
            </w:r>
          </w:p>
        </w:tc>
      </w:tr>
    </w:tbl>
    <w:p>
      <w:pPr>
        <w:spacing w:after="20"/>
      </w:pPr>
      <w:r>
        <w:rPr>
          <w:b w:val="0"/>
        </w:rPr>
      </w:r>
    </w:p>
    <w:p>
      <w:pPr>
        <w:spacing w:after="100"/>
      </w:pPr>
      <w:r>
        <w:rPr>
          <w:b w:val="0"/>
          <w:sz w:val="20"/>
        </w:rPr>
        <w:t>Години прикладу умовні. Для своєї школи використайте фактичний перелік предметів, примітки програми та погоджені послуги. Показник 30 не означає 30 астрономічних годин: реальну тривалість і розклад занять визначають окремо.</w:t>
      </w:r>
    </w:p>
    <w:p>
      <w:pPr>
        <w:pStyle w:val="Heading1"/>
      </w:pPr>
      <w:r>
        <w:t>Погодження та перегляд</w:t>
      </w:r>
    </w:p>
    <w:p>
      <w:pPr>
        <w:spacing w:after="100"/>
      </w:pPr>
      <w:r>
        <w:rPr>
          <w:b w:val="0"/>
          <w:sz w:val="20"/>
        </w:rPr>
        <w:t>Пункт 14 Порядку №957 передбачає затвердження керівником і підпис одного з батьків. Загальна норма частини 2 статті 14 Закону №463-IX також передбачає схвалення педагогічною радою, тому відповідний реквізит залишено в бланку. Поля для розробників і протоколу допомагають простежити рішення команди.</w:t>
      </w:r>
    </w:p>
    <w:p>
      <w:pPr>
        <w:spacing w:after="100"/>
      </w:pPr>
      <w:r>
        <w:rPr>
          <w:b w:val="0"/>
          <w:sz w:val="20"/>
        </w:rPr>
        <w:t>Окремої періодичності перегляду ІНП пункт 14 Порядку не встановлює. Якщо змінюються години, послуги або суттєві умови навчання, команді доцільно розглянути зміни та оформити актуальний документ. Періодичність перегляду ІПР не слід автоматично переносити на ІНП.</w:t>
      </w:r>
    </w:p>
    <w:p>
      <w:pPr>
        <w:pStyle w:val="Heading1"/>
      </w:pPr>
      <w:r>
        <w:t>Які поля можна додати</w:t>
      </w:r>
    </w:p>
    <w:p>
      <w:pPr>
        <w:spacing w:after="100"/>
      </w:pPr>
      <w:r>
        <w:rPr>
          <w:b w:val="0"/>
          <w:sz w:val="20"/>
        </w:rPr>
        <w:t>За потреби додайте індивідуальний розклад, обґрунтування змін або лист перегляду. Складні таблиці адаптацій не обов’язково дублювати в самому ІНП. У робочому бланку не передбачено домашньої адреси, медичного діагнозу чи докладних відомостей про сім’ю.</w:t>
      </w:r>
    </w:p>
    <w:p>
      <w:pPr>
        <w:pStyle w:val="Heading1"/>
      </w:pPr>
      <w:r>
        <w:t>Нормативні джерела</w:t>
      </w:r>
    </w:p>
    <w:p>
      <w:pPr>
        <w:spacing w:after="100"/>
      </w:pPr>
      <w:r>
        <w:rPr>
          <w:b w:val="0"/>
          <w:sz w:val="18"/>
        </w:rPr>
        <w:t>Постанова КМУ №957 — пункти 11, 14, 15; чинна редакція від 01.10.2026.</w:t>
        <w:br/>
        <w:t>https://zakon.rada.gov.ua/go/957-2021-%D0%BF</w:t>
      </w:r>
    </w:p>
    <w:p>
      <w:pPr>
        <w:spacing w:after="100"/>
      </w:pPr>
      <w:r>
        <w:rPr>
          <w:b w:val="0"/>
          <w:sz w:val="18"/>
        </w:rPr>
        <w:t>Закон України «Про повну загальну середню освіту» №463-IX — стаття 14; чинна редакція від 13.10.2026.</w:t>
        <w:br/>
        <w:t>https://zakon.rada.gov.ua/laws/show/463-20#Text</w:t>
      </w:r>
    </w:p>
    <w:p>
      <w:pPr>
        <w:spacing w:after="100"/>
      </w:pPr>
      <w:r>
        <w:rPr>
          <w:b w:val="0"/>
          <w:sz w:val="18"/>
        </w:rPr>
        <w:t>Наказ МОН №787 від 29.05.2025 — робота команди супроводу.</w:t>
        <w:br/>
        <w:t>https://zakon.rada.gov.ua/rada/show/v0787729-25#Text</w:t>
      </w:r>
    </w:p>
    <w:p>
      <w:pPr>
        <w:spacing w:after="0"/>
      </w:pPr>
      <w:r>
        <w:rPr>
          <w:b w:val="0"/>
          <w:sz w:val="18"/>
        </w:rPr>
        <w:t>Перевірено 30 жовтня 2026 року. Матеріали Освіта+ є авторськими робочими шаблонами; їх структуру та реквізити можна доповнювати для потреб закладу.</w:t>
      </w:r>
    </w:p>
    <w:sectPr w:rsidR="00FC693F" w:rsidRPr="0006063C" w:rsidSect="00034616">
      <w:pgSz w:w="12240" w:h="15840"/>
      <w:pgMar w:top="864" w:right="979" w:bottom="864"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5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80" w:line="250"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0" w:lineRule="auto"/>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0" w:lineRule="auto"/>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0"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Індивідуальний навчальний план учня з особливими освітніми потребами</dc:title>
  <dc:subject>Авторський бланк і навчальний приклад для закладів загальної середньої освіти</dc:subject>
  <dc:creator>Освіта+ | Освітяник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