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Аналіз виховної роботи класного керівника</w:t>
      </w:r>
    </w:p>
    <w:p>
      <w:pPr>
        <w:pStyle w:val="Subtitle"/>
      </w:pPr>
      <w:r>
        <w:t>Заповнений зразок за 2025/2026 навчальний рік · 9 клас</w:t>
      </w:r>
    </w:p>
    <w:p>
      <w:pPr>
        <w:spacing w:after="120"/>
      </w:pPr>
      <w:r>
        <w:rPr>
          <w:b w:val="0"/>
          <w:color w:val="555555"/>
          <w:sz w:val="18"/>
        </w:rPr>
        <w:t>Навчальний приклад. Усі обставини, результати та числа умовні. Річний аналіз показує зв’язок між висновками І семестру, змінами роботи у ІІ семестрі та підсумками року.</w:t>
      </w:r>
    </w:p>
    <w:p>
      <w:pPr>
        <w:pStyle w:val="Heading1"/>
      </w:pPr>
      <w:r>
        <w:t>Умови роботи та висновок за рік</w:t>
      </w:r>
    </w:p>
    <w:p>
      <w:r>
        <w:rPr>
          <w:b w:val="0"/>
        </w:rPr>
        <w:t>В умовному 9-А класі протягом року навчалися ті самі 22 учні. Працювала у змішаному форматі; під час тривалих перерв зв’язку пропонувала короткі матеріали для самостійного опрацювання. Пріоритетами були доступна участь у класних справах, відповідальні дії в цифровому середовищі та підготовка до вибору подальшого навчання.</w:t>
      </w:r>
    </w:p>
    <w:p>
      <w:r>
        <w:rPr>
          <w:b w:val="0"/>
        </w:rPr>
        <w:t>Порівняння вересня, грудня і травня показало зміни у виконанні ситуаційного завдання з цифрової безпеки. Участь у спільних продуктах стала ширшою після зміни формату роботи. Профорієнтаційне завдання виконано частково: п’ятьом учням ще потрібна підтримка у зіставленні варіантів навчання.</w:t>
      </w:r>
    </w:p>
    <w:p>
      <w:pPr>
        <w:pStyle w:val="Heading1"/>
      </w:pPr>
      <w:r>
        <w:t>Річні завдання та умовні показники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1800"/>
        <w:gridCol w:w="1800"/>
        <w:gridCol w:w="1958"/>
      </w:tblGrid>
      <w:tr>
        <w:trPr>
          <w:tblHeader/>
          <w:cantSplit/>
        </w:trPr>
        <w:tc>
          <w:tcPr>
            <w:tcW w:type="dxa" w:w="46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Показник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Початок року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І семестр</w:t>
            </w:r>
          </w:p>
        </w:tc>
        <w:tc>
          <w:tcPr>
            <w:tcW w:type="dxa" w:w="19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Кінець року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Повна відповідь на рівноцінне завдання з цифрової безпеки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10 із 22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16 із 22</w:t>
            </w:r>
          </w:p>
        </w:tc>
        <w:tc>
          <w:tcPr>
            <w:tcW w:type="dxa" w:w="19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20 із 22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Участь хоча б в одному спільному продукті за семестр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Не вимірювали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15 із 22</w:t>
            </w:r>
          </w:p>
        </w:tc>
        <w:tc>
          <w:tcPr>
            <w:tcW w:type="dxa" w:w="19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20 із 22 у ІІ семестрі</w:t>
            </w:r>
          </w:p>
        </w:tc>
      </w:tr>
      <w:tr>
        <w:trPr>
          <w:cantSplit/>
        </w:trPr>
        <w:tc>
          <w:tcPr>
            <w:tcW w:type="dxa" w:w="46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Порівняння двох варіантів подальшого навчання за визначеними критеріями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Не вимірювали</w:t>
            </w:r>
          </w:p>
        </w:tc>
        <w:tc>
          <w:tcPr>
            <w:tcW w:type="dxa" w:w="180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Підготовчий етап</w:t>
            </w:r>
          </w:p>
        </w:tc>
        <w:tc>
          <w:tcPr>
            <w:tcW w:type="dxa" w:w="19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17 із 22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color w:val="555555"/>
          <w:sz w:val="18"/>
        </w:rPr>
        <w:t>Завдання з безпеки на трьох етапах виконували ті самі 22 учні за однаковими критеріями. Участь рахували окремо за кожен семестр: два значення не підсумовують. Дані не доводять, що всі зміни спричинила лише виховна робота.</w:t>
      </w:r>
    </w:p>
    <w:p>
      <w:r>
        <w:br w:type="page"/>
      </w:r>
    </w:p>
    <w:p>
      <w:pPr>
        <w:pStyle w:val="Heading1"/>
      </w:pPr>
      <w:r>
        <w:t>Як змінилася робота після І семестру</w:t>
      </w:r>
    </w:p>
    <w:p>
      <w:r>
        <w:rPr>
          <w:b w:val="0"/>
        </w:rPr>
        <w:t>Підсумки грудня засвідчили нерівномірну участь: спільний продукт підготували 15 із 22 учнів. У роботі переважали усні виступи та синхронні обговорення. У ІІ семестрі додала письмові, візуальні й дослідницькі ролі, можливість роботи в парі та виконання частини завдання у зручний час.</w:t>
      </w:r>
    </w:p>
    <w:p>
      <w:r>
        <w:rPr>
          <w:b w:val="0"/>
        </w:rPr>
        <w:t>За такими самими правилами обліку у ІІ семестрі долучилися 20 різних учнів. Це підтверджує ширше охоплення у другому періоді, однак для пояснення зміни потрібно враховувати також доступ до зв’язку й обставини участі. Для двох учнів спосіб долучення до кінця року ще уточнювали.</w:t>
      </w:r>
    </w:p>
    <w:p>
      <w:pPr>
        <w:pStyle w:val="Heading1"/>
      </w:pPr>
      <w:r>
        <w:t>Безпека та культура спілкування</w:t>
      </w:r>
    </w:p>
    <w:p>
      <w:r>
        <w:rPr>
          <w:b w:val="0"/>
        </w:rPr>
        <w:t>Робота з цифрової безпеки поєднувала розбір повідомлень, перевірку джерела та тренування звернення по допомогу. Рівноцінне ситуаційне завдання з однаковим критерієм повноти відповіді виконали всі 22 учні на кожному етапі. Повних відповідей було 10 у вересні, 16 у грудні та 20 у травні. Двом учням рекомендовано повторно відпрацювати алгоритм на нових прикладах.</w:t>
      </w:r>
    </w:p>
    <w:p>
      <w:r>
        <w:rPr>
          <w:b w:val="0"/>
        </w:rPr>
        <w:t>У класі обговорили правила повідомлень у чаті, повагу до особистих меж і порядок звернення до дорослого. Складні ситуації опрацьовували індивідуально та із залученням фахівців за потреби. Зменшення кількості повідомлень чи відсутність офіційних звернень не використовую як самостійний доказ безпечності середовища.</w:t>
      </w:r>
    </w:p>
    <w:p>
      <w:pPr>
        <w:pStyle w:val="Heading1"/>
      </w:pPr>
      <w:r>
        <w:t>Громадянська відповідальність і самоврядування</w:t>
      </w:r>
    </w:p>
    <w:p>
      <w:r>
        <w:rPr>
          <w:b w:val="0"/>
        </w:rPr>
        <w:t>Учні підготували матеріали про ініціативи своєї громади, організували обмін книжками та запропонували правила ощадливого використання навчальних матеріалів. Участь була добровільною і не залежала від грошового внеску. Оцінювала виконані домовленості, самостійність у ролі й можливість долучитися.</w:t>
      </w:r>
    </w:p>
    <w:p>
      <w:r>
        <w:rPr>
          <w:b w:val="0"/>
        </w:rPr>
        <w:t>У ІІ семестрі клас обирав справи з кількох учнівських пропозицій. Перед початком проєкту погоджували результат, ролі та строки. Після завершення коротко обговорювали внесок кожного й потребу в допомозі. Для повного висновку про розвиток самоврядування потрібне подальше спостереження за самостійністю планування.</w:t>
      </w:r>
    </w:p>
    <w:p>
      <w:r>
        <w:br w:type="page"/>
      </w:r>
    </w:p>
    <w:p>
      <w:pPr>
        <w:pStyle w:val="Heading1"/>
      </w:pPr>
      <w:r>
        <w:t>Профорієнтація та підготовка до наступного етапу</w:t>
      </w:r>
    </w:p>
    <w:p>
      <w:r>
        <w:rPr>
          <w:b w:val="0"/>
        </w:rPr>
        <w:t>Провела заняття з пошуку відомостей на офіційних сайтах закладів освіти, організувала ознайомчі зустрічі та консультації для родин. Учні порівнювали два реальні для себе варіанти подальшого навчання за чотирма критеріями: зміст навчання, умови вступу з офіційного джерела, доступність формату й логістика.</w:t>
      </w:r>
    </w:p>
    <w:p>
      <w:r>
        <w:rPr>
          <w:b w:val="0"/>
        </w:rPr>
        <w:t>До завершення року 17 із 22 учнів підготували порівняння з посиланнями на джерела. П’ятьом потрібна допомога з пошуком інформації або визначенням власних критеріїв. Це результат підготовчого завдання, а не відомості про остаточний вибір чи вступ. Правила й строки вступу родини перевіряють окремо на актуальних офіційних ресурсах.</w:t>
      </w:r>
    </w:p>
    <w:p>
      <w:pPr>
        <w:pStyle w:val="Heading1"/>
      </w:pPr>
      <w:r>
        <w:t>Індивідуальна підтримка та співпраця з родинами</w:t>
      </w:r>
    </w:p>
    <w:p>
      <w:r>
        <w:rPr>
          <w:b w:val="0"/>
        </w:rPr>
        <w:t>Для учнів із нестабільним доступом до спільних обговорень використовувала письмові повідомлення, короткі консультації й завдання з вибором способу виконання. З учителями-предметниками узгоджувала час великих спільних справ, щоб уникнути надмірного навантаження. Персональні випадки у цьому аналізі не деталізуються.</w:t>
      </w:r>
    </w:p>
    <w:p>
      <w:r>
        <w:rPr>
          <w:b w:val="0"/>
        </w:rPr>
        <w:t>Упродовж року організувала три тематичні зустрічі для родин. Представники 19 різних родин взяли участь хоча б в одній із них; із представниками ще трьох підтримували індивідуальний контакт. Разом це охоплює 22 родини. Темами були доступність навчання, безпека комунікації та вибір наступного освітнього етапу.</w:t>
      </w:r>
    </w:p>
    <w:p>
      <w:r>
        <w:rPr>
          <w:b w:val="0"/>
        </w:rPr>
        <w:t>За результатами спілкування погоджували резервні канали зв’язку й індивідуальні консультації. Ефективність цих домовленостей оцінювала за можливістю отримати матеріали та зворотний зв’язок. Відвідування зустрічі не розглядала як оцінку відповідальності родини.</w:t>
      </w:r>
    </w:p>
    <w:p>
      <w:pPr>
        <w:pStyle w:val="Heading1"/>
      </w:pPr>
      <w:r>
        <w:t>Виконання плану та невирішені питання</w:t>
      </w:r>
    </w:p>
    <w:p>
      <w:r>
        <w:rPr>
          <w:b w:val="0"/>
        </w:rPr>
        <w:t>У річному плані передбачала 12 основних класних справ. Десять проведено у запланованому форматі, одну екскурсію замінено дистанційною зустріччю, одну подію скасовано через неможливість узгодити доступний для учасників час. Отже, план має десять проведених справ, одну заміну й одне скасування; скасовану подію до виконаних не зараховувала.</w:t>
      </w:r>
    </w:p>
    <w:p>
      <w:r>
        <w:rPr>
          <w:b w:val="0"/>
        </w:rPr>
        <w:t>Залишилися труднощі з рівномірним розподілом ролей, участю двох учнів і завершенням профорієнтаційного порівняння п’ятьма учнями. Причини різняться; робити загальний висновок про мотивацію всього класу за цими даними неможливо.</w:t>
      </w:r>
    </w:p>
    <w:p>
      <w:r>
        <w:br w:type="page"/>
      </w:r>
    </w:p>
    <w:p>
      <w:pPr>
        <w:pStyle w:val="Heading1"/>
      </w:pPr>
      <w:r>
        <w:t>Рекомендації на наступний освітній період</w:t>
      </w:r>
    </w:p>
    <w:p>
      <w:pPr>
        <w:spacing w:after="120"/>
      </w:pPr>
      <w:r>
        <w:rPr>
          <w:b w:val="0"/>
          <w:color w:val="555555"/>
          <w:sz w:val="18"/>
        </w:rPr>
        <w:t>Рекомендації адресовано педагогам, які продовжуватимуть роботу з учнями, та самому класному керівнику в межах його подальших завдань. Передавання індивідуальних відомостей здійснюють окремо в установленому закладом порядку.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4320"/>
        <w:gridCol w:w="3830"/>
      </w:tblGrid>
      <w:tr>
        <w:trPr>
          <w:tblHeader/>
          <w:cantSplit/>
        </w:trPr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Пріоритет</w:t>
            </w:r>
          </w:p>
        </w:tc>
        <w:tc>
          <w:tcPr>
            <w:tcW w:type="dxa" w:w="43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Запропонована дія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4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/>
                <w:color w:val="000000"/>
                <w:sz w:val="19"/>
              </w:rPr>
              <w:t>Орієнтир перевірки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Доступність участі</w:t>
            </w:r>
          </w:p>
        </w:tc>
        <w:tc>
          <w:tcPr>
            <w:tcW w:type="dxa" w:w="43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З початку періоду пропонувати усну, письмову та візуальну роль; узгоджувати резервний спосіб долучення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Видно, чи кожному запропоновано доступний спосіб участі та чи він працює.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Безпечні рішення</w:t>
            </w:r>
          </w:p>
        </w:tc>
        <w:tc>
          <w:tcPr>
            <w:tcW w:type="dxa" w:w="43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Повернутися до алгоритму перевірки повідомлення на нових ситуаціях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Повторна коротка перевірка за тими самими критеріями із зазначенням охоплення.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Освітній вибір</w:t>
            </w:r>
          </w:p>
        </w:tc>
        <w:tc>
          <w:tcPr>
            <w:tcW w:type="dxa" w:w="43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Запропонувати незавершені консультації щодо пошуку й зіставлення офіційних відомостей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Учень може пояснити критерії власного порівняння; рішення про вступ не підміняють звітом.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Самоврядування</w:t>
            </w:r>
          </w:p>
        </w:tc>
        <w:tc>
          <w:tcPr>
            <w:tcW w:type="dxa" w:w="43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Розподіляти ролі й погоджувати строки разом з учнями; після справи проводити коротку рефлексію</w:t>
            </w:r>
          </w:p>
        </w:tc>
        <w:tc>
          <w:tcPr>
            <w:tcW w:type="dxa" w:w="383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6F8FA"/>
          </w:tcPr>
          <w:p>
            <w:pPr>
              <w:spacing w:line="254" w:lineRule="auto" w:after="40" w:before="20"/>
            </w:pPr>
            <w:r>
              <w:rPr>
                <w:rFonts w:ascii="DejaVu Sans" w:hAnsi="DejaVu Sans"/>
                <w:b w:val="0"/>
                <w:color w:val="000000"/>
                <w:sz w:val="19"/>
              </w:rPr>
              <w:t>У записах є учнівські пропозиції, виконані домовленості та потреби в підтримці.</w:t>
            </w:r>
          </w:p>
        </w:tc>
      </w:tr>
    </w:tbl>
    <w:p>
      <w:pPr>
        <w:spacing w:after="0"/>
      </w:pPr>
    </w:p>
    <w:p>
      <w:pPr>
        <w:pStyle w:val="Heading1"/>
      </w:pPr>
      <w:r>
        <w:t>Підсумковий висновок</w:t>
      </w:r>
    </w:p>
    <w:p>
      <w:r>
        <w:rPr>
          <w:b w:val="0"/>
        </w:rPr>
        <w:t>Упродовж року підтверджено кращі результати виконання ситуаційного завдання з цифрової безпеки: від 10 до 20 повних відповідей серед тих самих 22 учнів. Участь у спільному продукті за семестр збільшилася з 15 до 20 учнів. Порівняння двох варіантів подальшого навчання завершили 17 учнів.</w:t>
      </w:r>
    </w:p>
    <w:p>
      <w:r>
        <w:rPr>
          <w:b w:val="0"/>
        </w:rPr>
        <w:t>Завдання року реалізовано частково. Потрібно продовжити індивідуальну підтримку та доступні формати участі, а також практику перевірки джерел. Найкориснішою зміною організації роботи стало розширення вибору ролей після аналізу І семестру. Цей досвід доцільно врахувати під час наступного планування.</w:t>
      </w:r>
    </w:p>
    <w:p>
      <w:pPr>
        <w:spacing w:after="120"/>
      </w:pPr>
      <w:r>
        <w:rPr>
          <w:b w:val="0"/>
          <w:color w:val="555555"/>
          <w:sz w:val="18"/>
        </w:rPr>
        <w:t>Джерела навчального прикладу: умовний річний план; висновки І семестру; підсумки трьох ситуаційних завдань; облік участі за семестрами; учнівські порівняння варіантів навчання; узагальнені записи консультацій.</w:t>
      </w:r>
    </w:p>
    <w:sectPr w:rsidR="00FC693F" w:rsidRPr="0006063C" w:rsidSect="00034616">
      <w:footerReference w:type="default" r:id="rId9"/>
      <w:pgSz w:w="12240" w:h="15840"/>
      <w:pgMar w:top="922" w:right="1037" w:bottom="922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 xml:space="preserve">ОСВІТА+  |  Навчальний приклад  |  Зразок за навчальний рік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DejaVu Sans" w:hAnsi="DejaVu Sans" w:eastAsia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 w:eastAsia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DejaVu Sans" w:hAnsi="DejaVu Sans" w:eastAsia="DejaVu San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DejaVu Sans" w:hAnsi="DejaVu Sans" w:eastAsia="DejaVu Sans"/>
      <w:i w:val="0"/>
      <w:iCs/>
      <w:color w:val="000000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Аналіз виховної роботи класного керівника</dc:subject>
  <dc:creator>Освіта+ ·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