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Аналіз виховної роботи класного керівника</w:t>
      </w:r>
    </w:p>
    <w:p>
      <w:pPr>
        <w:pStyle w:val="Subtitle"/>
      </w:pPr>
      <w:r>
        <w:t>Заповнений зразок за І семестр 2025/2026 навчального року · 6 клас</w:t>
      </w:r>
    </w:p>
    <w:p>
      <w:pPr>
        <w:spacing w:after="120"/>
      </w:pPr>
      <w:r>
        <w:rPr>
          <w:b w:val="0"/>
          <w:color w:val="555555"/>
          <w:sz w:val="18"/>
        </w:rPr>
        <w:t>Навчальний приклад. Клас, ситуації, дати, показники й результати умовні. Замініть їх відомостями про власну роботу; не переносіть цифри у свій звіт.</w:t>
      </w:r>
    </w:p>
    <w:p>
      <w:pPr>
        <w:pStyle w:val="Heading1"/>
      </w:pPr>
      <w:r>
        <w:t>Умови роботи та основний результат</w:t>
      </w:r>
    </w:p>
    <w:p>
      <w:r>
        <w:rPr>
          <w:b w:val="0"/>
        </w:rPr>
        <w:t>Упродовж І семестру в умовному 6-Б класі навчалися 24 учні; склад класу не змінювався. Виховну роботу проводила у змішаному форматі. Через перебої зв’язку до спільних справ додавала короткі письмові завдання, які можна було виконати у зручний час.</w:t>
      </w:r>
    </w:p>
    <w:p>
      <w:r>
        <w:rPr>
          <w:b w:val="0"/>
        </w:rPr>
        <w:t>Основними потребами були безпечне спілкування в інтернеті, справедливий розподіл ролей у групах і доступна участь у класних справах. Найчіткіше підтверджено результат роботи з цифрової безпеки. Командна взаємодія та залучення всіх учнів потребують продовження роботи.</w:t>
      </w:r>
    </w:p>
    <w:p>
      <w:pPr>
        <w:pStyle w:val="Heading1"/>
      </w:pPr>
      <w:r>
        <w:t>Виконання завдань семестру</w:t>
      </w:r>
    </w:p>
    <w:tbl>
      <w:tblPr>
        <w:tblW w:type="auto" w:w="0"/>
        <w:jc w:val="center"/>
        <w:tblLayout w:type="fixed"/>
        <w:tblLook w:firstColumn="1" w:firstRow="1" w:lastColumn="0" w:lastRow="0" w:noHBand="0" w:noVBand="1" w:val="04A0"/>
      </w:tblPr>
      <w:tblGrid>
        <w:gridCol w:w="2376"/>
        <w:gridCol w:w="4824"/>
        <w:gridCol w:w="2966"/>
      </w:tblGrid>
      <w:tr>
        <w:trPr>
          <w:tblHeader/>
          <w:cantSplit/>
        </w:trPr>
        <w:tc>
          <w:tcPr>
            <w:tcW w:type="dxa" w:w="237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8EEF4"/>
          </w:tcPr>
          <w:p>
            <w:pPr>
              <w:spacing w:line="254" w:lineRule="auto" w:after="40" w:before="20"/>
            </w:pPr>
            <w:r>
              <w:rPr>
                <w:rFonts w:ascii="DejaVu Sans" w:hAnsi="DejaVu Sans"/>
                <w:b/>
                <w:color w:val="000000"/>
                <w:sz w:val="19"/>
              </w:rPr>
              <w:t>Завдання</w:t>
            </w:r>
          </w:p>
        </w:tc>
        <w:tc>
          <w:tcPr>
            <w:tcW w:type="dxa" w:w="48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8EEF4"/>
          </w:tcPr>
          <w:p>
            <w:pPr>
              <w:spacing w:line="254" w:lineRule="auto" w:after="40" w:before="20"/>
            </w:pPr>
            <w:r>
              <w:rPr>
                <w:rFonts w:ascii="DejaVu Sans" w:hAnsi="DejaVu Sans"/>
                <w:b/>
                <w:color w:val="000000"/>
                <w:sz w:val="19"/>
              </w:rPr>
              <w:t>Умовні факти та джерела</w:t>
            </w:r>
          </w:p>
        </w:tc>
        <w:tc>
          <w:tcPr>
            <w:tcW w:type="dxa" w:w="296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8EEF4"/>
          </w:tcPr>
          <w:p>
            <w:pPr>
              <w:spacing w:line="254" w:lineRule="auto" w:after="40" w:before="20"/>
            </w:pPr>
            <w:r>
              <w:rPr>
                <w:rFonts w:ascii="DejaVu Sans" w:hAnsi="DejaVu Sans"/>
                <w:b/>
                <w:color w:val="000000"/>
                <w:sz w:val="19"/>
              </w:rPr>
              <w:t>Висновок</w:t>
            </w:r>
          </w:p>
        </w:tc>
      </w:tr>
      <w:tr>
        <w:trPr>
          <w:cantSplit/>
        </w:trPr>
        <w:tc>
          <w:tcPr>
            <w:tcW w:type="dxa" w:w="237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line="254" w:lineRule="auto" w:after="40" w:before="20"/>
            </w:pPr>
            <w:r>
              <w:rPr>
                <w:rFonts w:ascii="DejaVu Sans" w:hAnsi="DejaVu Sans"/>
                <w:b w:val="0"/>
                <w:color w:val="000000"/>
                <w:sz w:val="19"/>
              </w:rPr>
              <w:t>Відпрацювати дії при підозрілому посиланні</w:t>
            </w:r>
          </w:p>
        </w:tc>
        <w:tc>
          <w:tcPr>
            <w:tcW w:type="dxa" w:w="48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line="254" w:lineRule="auto" w:after="40" w:before="20"/>
            </w:pPr>
            <w:r>
              <w:rPr>
                <w:rFonts w:ascii="DejaVu Sans" w:hAnsi="DejaVu Sans"/>
                <w:b w:val="0"/>
                <w:color w:val="000000"/>
                <w:sz w:val="19"/>
              </w:rPr>
              <w:t>Вересень: 11 із 24; грудень: 19 із 24 учнів назвали три безпечні дії у рівноцінних ситуаційних завданнях.</w:t>
            </w:r>
          </w:p>
        </w:tc>
        <w:tc>
          <w:tcPr>
            <w:tcW w:type="dxa" w:w="296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line="254" w:lineRule="auto" w:after="40" w:before="20"/>
            </w:pPr>
            <w:r>
              <w:rPr>
                <w:rFonts w:ascii="DejaVu Sans" w:hAnsi="DejaVu Sans"/>
                <w:b w:val="0"/>
                <w:color w:val="000000"/>
                <w:sz w:val="19"/>
              </w:rPr>
              <w:t>Є позитивна динаміка відповідей. П’ятьом учням потрібна додаткова практика.</w:t>
            </w:r>
          </w:p>
        </w:tc>
      </w:tr>
      <w:tr>
        <w:trPr>
          <w:cantSplit/>
        </w:trPr>
        <w:tc>
          <w:tcPr>
            <w:tcW w:type="dxa" w:w="237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6F8FA"/>
          </w:tcPr>
          <w:p>
            <w:pPr>
              <w:spacing w:line="254" w:lineRule="auto" w:after="40" w:before="20"/>
            </w:pPr>
            <w:r>
              <w:rPr>
                <w:rFonts w:ascii="DejaVu Sans" w:hAnsi="DejaVu Sans"/>
                <w:b w:val="0"/>
                <w:color w:val="000000"/>
                <w:sz w:val="19"/>
              </w:rPr>
              <w:t>Навчити домовлятися про ролі</w:t>
            </w:r>
          </w:p>
        </w:tc>
        <w:tc>
          <w:tcPr>
            <w:tcW w:type="dxa" w:w="48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6F8FA"/>
          </w:tcPr>
          <w:p>
            <w:pPr>
              <w:spacing w:line="254" w:lineRule="auto" w:after="40" w:before="20"/>
            </w:pPr>
            <w:r>
              <w:rPr>
                <w:rFonts w:ascii="DejaVu Sans" w:hAnsi="DejaVu Sans"/>
                <w:b w:val="0"/>
                <w:color w:val="000000"/>
                <w:sz w:val="19"/>
              </w:rPr>
              <w:t>У двох завершальних групових роботах 18 із 24 учнів виконували узгоджену роль в обох випадках. Стартового підрахунку немає.</w:t>
            </w:r>
          </w:p>
        </w:tc>
        <w:tc>
          <w:tcPr>
            <w:tcW w:type="dxa" w:w="296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6F8FA"/>
          </w:tcPr>
          <w:p>
            <w:pPr>
              <w:spacing w:line="254" w:lineRule="auto" w:after="40" w:before="20"/>
            </w:pPr>
            <w:r>
              <w:rPr>
                <w:rFonts w:ascii="DejaVu Sans" w:hAnsi="DejaVu Sans"/>
                <w:b w:val="0"/>
                <w:color w:val="000000"/>
                <w:sz w:val="19"/>
              </w:rPr>
              <w:t>Частково досягнуто. Зростання кількісно не визначали.</w:t>
            </w:r>
          </w:p>
        </w:tc>
      </w:tr>
      <w:tr>
        <w:trPr>
          <w:cantSplit/>
        </w:trPr>
        <w:tc>
          <w:tcPr>
            <w:tcW w:type="dxa" w:w="237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line="254" w:lineRule="auto" w:after="40" w:before="20"/>
            </w:pPr>
            <w:r>
              <w:rPr>
                <w:rFonts w:ascii="DejaVu Sans" w:hAnsi="DejaVu Sans"/>
                <w:b w:val="0"/>
                <w:color w:val="000000"/>
                <w:sz w:val="19"/>
              </w:rPr>
              <w:t>Запропонувати кожному посильну участь</w:t>
            </w:r>
          </w:p>
        </w:tc>
        <w:tc>
          <w:tcPr>
            <w:tcW w:type="dxa" w:w="482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line="254" w:lineRule="auto" w:after="40" w:before="20"/>
            </w:pPr>
            <w:r>
              <w:rPr>
                <w:rFonts w:ascii="DejaVu Sans" w:hAnsi="DejaVu Sans"/>
                <w:b w:val="0"/>
                <w:color w:val="000000"/>
                <w:sz w:val="19"/>
              </w:rPr>
              <w:t>22 із 24 учнів долучилися щонайменше до одного спільного продукту. У двох випадках доступний спосіб участі ще узгоджують.</w:t>
            </w:r>
          </w:p>
        </w:tc>
        <w:tc>
          <w:tcPr>
            <w:tcW w:type="dxa" w:w="296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line="254" w:lineRule="auto" w:after="40" w:before="20"/>
            </w:pPr>
            <w:r>
              <w:rPr>
                <w:rFonts w:ascii="DejaVu Sans" w:hAnsi="DejaVu Sans"/>
                <w:b w:val="0"/>
                <w:color w:val="000000"/>
                <w:sz w:val="19"/>
              </w:rPr>
              <w:t>Частково досягнуто. Потрібні індивідуальні домовленості.</w:t>
            </w:r>
          </w:p>
        </w:tc>
      </w:tr>
    </w:tbl>
    <w:p>
      <w:pPr>
        <w:spacing w:after="0"/>
      </w:pPr>
    </w:p>
    <w:p>
      <w:pPr>
        <w:spacing w:after="120"/>
      </w:pPr>
      <w:r>
        <w:rPr>
          <w:b w:val="0"/>
          <w:color w:val="555555"/>
          <w:sz w:val="18"/>
        </w:rPr>
        <w:t>Джерела прикладу: записи спостережень, учнівські роботи та дві короткі перевірки. Обидві перевірки з безпеки виконали ті самі 24 учні за однаковим критерієм; відсутні виконали завдання пізніше.</w:t>
      </w:r>
    </w:p>
    <w:p>
      <w:r>
        <w:br w:type="page"/>
      </w:r>
    </w:p>
    <w:p>
      <w:pPr>
        <w:pStyle w:val="Heading1"/>
      </w:pPr>
      <w:r>
        <w:t>Робота з безпеки та взаємоповаги</w:t>
      </w:r>
    </w:p>
    <w:p>
      <w:r>
        <w:rPr>
          <w:b w:val="0"/>
        </w:rPr>
        <w:t>Провела дві практичні справи з безпеки: перевірку підозрілих повідомлень і відпрацювання звернення по допомогу. У завданні про посилання перевіряла три дії: не відкривати його, перевірити повідомлення окремим каналом і звернутися до дорослого. Правильну повну відповідь на початку семестру дали 11 учнів, наприкінці 19. Це свідчить про краще виконання навчального завдання; поведінку дітей в усіх реальних онлайн-ситуаціях за цими відповідями не оцінювала.</w:t>
      </w:r>
    </w:p>
    <w:p>
      <w:r>
        <w:rPr>
          <w:b w:val="0"/>
        </w:rPr>
        <w:t>Під час двох справ зі спілкування клас узгодив правила обговорення та потренував звернення до дорослого по допомогу. У групових завданнях пропонувала змінювати ролі: координатор, доповідач, укладач матеріалів, перевіряльник. Шістьом учням у двох завершальних роботах ще була потрібна допомога з вибором або виконанням ролі. На наступний семестр залишаю коротку репетицію розподілу обов’язків перед початком справи.</w:t>
      </w:r>
    </w:p>
    <w:p>
      <w:pPr>
        <w:pStyle w:val="Heading1"/>
      </w:pPr>
      <w:r>
        <w:t>Громадянська участь та інші напрями</w:t>
      </w:r>
    </w:p>
    <w:p>
      <w:r>
        <w:rPr>
          <w:b w:val="0"/>
        </w:rPr>
        <w:t>Клас створив мініпроєкт про культурні пам’ятки своєї громади. Учні обирали внесок: короткий текст, ілюстрацію, перевірку джерела або представлення результату. Участь не передбачала грошових внесків чи обов’язкового публічного виступу. За готовими матеріалами можна підтвердити виконання ролей, але не загальний рівень громадянської зрілості учнів.</w:t>
      </w:r>
    </w:p>
    <w:p>
      <w:r>
        <w:rPr>
          <w:b w:val="0"/>
        </w:rPr>
        <w:t>Під час екологічної практики діти обрали способи повторного використання навчальних матеріалів. Читацька зустріч завершилася спільною добіркою книжок. Підрахунок участі у цих справах, мініпроєкті та підготовці класної пам’ятки дав 22 різних учні, а не суму всіх відвідувань.</w:t>
      </w:r>
    </w:p>
    <w:p>
      <w:pPr>
        <w:pStyle w:val="Heading1"/>
      </w:pPr>
      <w:r>
        <w:t>Виконання плану</w:t>
      </w:r>
    </w:p>
    <w:p>
      <w:r>
        <w:rPr>
          <w:b w:val="0"/>
        </w:rPr>
        <w:t>Із восьми запланованих класних справ проведено сім: дві з безпеки, дві зі спілкування, культурний мініпроєкт, екологічну практику та читацьку зустріч. Зустріч із запрошеним фахівцем перенесено на ІІ семестр через неузгоджений час. Кількість справ використовую для перевірки виконання плану; висновки про результат спираються на роботи й спостереження.</w:t>
      </w:r>
    </w:p>
    <w:p>
      <w:r>
        <w:br w:type="page"/>
      </w:r>
    </w:p>
    <w:p>
      <w:pPr>
        <w:pStyle w:val="Heading1"/>
      </w:pPr>
      <w:r>
        <w:t>Індивідуальна підтримка</w:t>
      </w:r>
    </w:p>
    <w:p>
      <w:r>
        <w:rPr>
          <w:b w:val="0"/>
        </w:rPr>
        <w:t>Для учнів, яким було складно долучатися синхронно, пропонувала письмові відповіді, роботу в парі та вибір ролі без публічного виступу. Двоє учнів ще не долучилися до спільного продукту в доступний для них спосіб. Індивідуально уточнюватиму перешкоди та погоджуватиму посильні дії. Відсутність участі сама по собі не є підставою для висновку про небажання співпрацювати.</w:t>
      </w:r>
    </w:p>
    <w:p>
      <w:r>
        <w:rPr>
          <w:b w:val="0"/>
        </w:rPr>
        <w:t>Питання взаємодії обговорювала з учителями-предметниками, а загальні способи підтримки спілкування з практичним психологом. У відкритий аналіз не включаю імен дітей, описів окремих звернень, стану здоров’я та сімейних обставин. За потреби ці питання розглядаються окремо з уповноваженими фахівцями.</w:t>
      </w:r>
    </w:p>
    <w:p>
      <w:pPr>
        <w:pStyle w:val="Heading1"/>
      </w:pPr>
      <w:r>
        <w:t>Співпраця з родинами</w:t>
      </w:r>
    </w:p>
    <w:p>
      <w:r>
        <w:rPr>
          <w:b w:val="0"/>
        </w:rPr>
        <w:t>Організувала дві зустрічі для родин: про доступ до навчання і про цифрову безпеку та правила класного чату. На першій були представники 20 родин, на другій 18. Загалом принаймні одну зустріч відвідали представники 22 різних родин; повторну участь не додавала як нову родину.</w:t>
      </w:r>
    </w:p>
    <w:p>
      <w:r>
        <w:rPr>
          <w:b w:val="0"/>
        </w:rPr>
        <w:t>Із представниками двох інших родин вдалося зв’язатися індивідуально. Узгоджено резервний канал отримання завдань і час коротких консультацій. Наявність контакту підтверджена; однак це ще не означає, що всі домовленості виконуються стабільно. Перевірятиму їх дієвість на початку наступного семестру.</w:t>
      </w:r>
    </w:p>
    <w:p>
      <w:pPr>
        <w:pStyle w:val="Heading1"/>
      </w:pPr>
      <w:r>
        <w:t>Труднощі та межі висновків</w:t>
      </w:r>
    </w:p>
    <w:p>
      <w:r>
        <w:rPr>
          <w:b w:val="0"/>
        </w:rPr>
        <w:t>Під час групових справ ініціативу часто перебирали одні й ті самі учні. Перебої зв’язку ускладнювали участь у спільному обговоренні. Для частини завдань не було початкового підрахунку, тому за ними описано лише стан наприкінці семестру. Відсутність звернень про складні ситуації не трактую як підтвердження їх відсутності.</w:t>
      </w:r>
    </w:p>
    <w:p>
      <w:r>
        <w:rPr>
          <w:b w:val="0"/>
        </w:rPr>
        <w:t>На наступний період зменшую обсяг одночасних групових завдань, залишаю кілька способів участі та узгоджую з класом простий порядок звернення по допомогу. Висновки цього аналізу стосуються спостережуваної роботи у класі, а не психологічної діагностики дітей.</w:t>
      </w:r>
    </w:p>
    <w:p>
      <w:r>
        <w:br w:type="page"/>
      </w:r>
    </w:p>
    <w:p>
      <w:pPr>
        <w:pStyle w:val="Heading1"/>
      </w:pPr>
      <w:r>
        <w:t>Завдання на ІІ семестр</w:t>
      </w:r>
    </w:p>
    <w:p>
      <w:pPr>
        <w:spacing w:after="120"/>
      </w:pPr>
      <w:r>
        <w:rPr>
          <w:b w:val="0"/>
          <w:color w:val="555555"/>
          <w:sz w:val="18"/>
        </w:rPr>
        <w:t>Наведені критерії є умовними орієнтирами цього навчального прикладу. Їх добирають за потребами класу.</w:t>
      </w:r>
    </w:p>
    <w:tbl>
      <w:tblPr>
        <w:tblW w:type="auto" w:w="0"/>
        <w:jc w:val="center"/>
        <w:tblLayout w:type="fixed"/>
        <w:tblLook w:firstColumn="1" w:firstRow="1" w:lastColumn="0" w:lastRow="0" w:noHBand="0" w:noVBand="1" w:val="04A0"/>
      </w:tblPr>
      <w:tblGrid>
        <w:gridCol w:w="2016"/>
        <w:gridCol w:w="2952"/>
        <w:gridCol w:w="2448"/>
        <w:gridCol w:w="2750"/>
      </w:tblGrid>
      <w:tr>
        <w:trPr>
          <w:tblHeader/>
          <w:cantSplit/>
        </w:trPr>
        <w:tc>
          <w:tcPr>
            <w:tcW w:type="dxa" w:w="201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8EEF4"/>
          </w:tcPr>
          <w:p>
            <w:pPr>
              <w:spacing w:line="254" w:lineRule="auto" w:after="40" w:before="20"/>
            </w:pPr>
            <w:r>
              <w:rPr>
                <w:rFonts w:ascii="DejaVu Sans" w:hAnsi="DejaVu Sans"/>
                <w:b/>
                <w:color w:val="000000"/>
                <w:sz w:val="19"/>
              </w:rPr>
              <w:t>Потреба</w:t>
            </w:r>
          </w:p>
        </w:tc>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8EEF4"/>
          </w:tcPr>
          <w:p>
            <w:pPr>
              <w:spacing w:line="254" w:lineRule="auto" w:after="40" w:before="20"/>
            </w:pPr>
            <w:r>
              <w:rPr>
                <w:rFonts w:ascii="DejaVu Sans" w:hAnsi="DejaVu Sans"/>
                <w:b/>
                <w:color w:val="000000"/>
                <w:sz w:val="19"/>
              </w:rPr>
              <w:t>Дія</w:t>
            </w:r>
          </w:p>
        </w:tc>
        <w:tc>
          <w:tcPr>
            <w:tcW w:type="dxa" w:w="244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8EEF4"/>
          </w:tcPr>
          <w:p>
            <w:pPr>
              <w:spacing w:line="254" w:lineRule="auto" w:after="40" w:before="20"/>
            </w:pPr>
            <w:r>
              <w:rPr>
                <w:rFonts w:ascii="DejaVu Sans" w:hAnsi="DejaVu Sans"/>
                <w:b/>
                <w:color w:val="000000"/>
                <w:sz w:val="19"/>
              </w:rPr>
              <w:t>Строк і відповідальні</w:t>
            </w:r>
          </w:p>
        </w:tc>
        <w:tc>
          <w:tcPr>
            <w:tcW w:type="dxa" w:w="275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E8EEF4"/>
          </w:tcPr>
          <w:p>
            <w:pPr>
              <w:spacing w:line="254" w:lineRule="auto" w:after="40" w:before="20"/>
            </w:pPr>
            <w:r>
              <w:rPr>
                <w:rFonts w:ascii="DejaVu Sans" w:hAnsi="DejaVu Sans"/>
                <w:b/>
                <w:color w:val="000000"/>
                <w:sz w:val="19"/>
              </w:rPr>
              <w:t>Перевірка</w:t>
            </w:r>
          </w:p>
        </w:tc>
      </w:tr>
      <w:tr>
        <w:trPr>
          <w:cantSplit/>
        </w:trPr>
        <w:tc>
          <w:tcPr>
            <w:tcW w:type="dxa" w:w="201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line="254" w:lineRule="auto" w:after="40" w:before="20"/>
            </w:pPr>
            <w:r>
              <w:rPr>
                <w:rFonts w:ascii="DejaVu Sans" w:hAnsi="DejaVu Sans"/>
                <w:b w:val="0"/>
                <w:color w:val="000000"/>
                <w:sz w:val="19"/>
              </w:rPr>
              <w:t>Практика цифрової безпеки</w:t>
            </w:r>
          </w:p>
        </w:tc>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line="254" w:lineRule="auto" w:after="40" w:before="20"/>
            </w:pPr>
            <w:r>
              <w:rPr>
                <w:rFonts w:ascii="DejaVu Sans" w:hAnsi="DejaVu Sans"/>
                <w:b w:val="0"/>
                <w:color w:val="000000"/>
                <w:sz w:val="19"/>
              </w:rPr>
              <w:t>Дві короткі ситуаційні вправи з поясненням рішення</w:t>
            </w:r>
          </w:p>
        </w:tc>
        <w:tc>
          <w:tcPr>
            <w:tcW w:type="dxa" w:w="244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line="254" w:lineRule="auto" w:after="40" w:before="20"/>
            </w:pPr>
            <w:r>
              <w:rPr>
                <w:rFonts w:ascii="DejaVu Sans" w:hAnsi="DejaVu Sans"/>
                <w:b w:val="0"/>
                <w:color w:val="000000"/>
                <w:sz w:val="19"/>
              </w:rPr>
              <w:t>Січень–лютий; класний керівник</w:t>
            </w:r>
          </w:p>
        </w:tc>
        <w:tc>
          <w:tcPr>
            <w:tcW w:type="dxa" w:w="275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line="254" w:lineRule="auto" w:after="40" w:before="20"/>
            </w:pPr>
            <w:r>
              <w:rPr>
                <w:rFonts w:ascii="DejaVu Sans" w:hAnsi="DejaVu Sans"/>
                <w:b w:val="0"/>
                <w:color w:val="000000"/>
                <w:sz w:val="19"/>
              </w:rPr>
              <w:t>Повторне рівноцінне завдання. Окремо зазначити кількість учасників.</w:t>
            </w:r>
          </w:p>
        </w:tc>
      </w:tr>
      <w:tr>
        <w:trPr>
          <w:cantSplit/>
        </w:trPr>
        <w:tc>
          <w:tcPr>
            <w:tcW w:type="dxa" w:w="201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6F8FA"/>
          </w:tcPr>
          <w:p>
            <w:pPr>
              <w:spacing w:line="254" w:lineRule="auto" w:after="40" w:before="20"/>
            </w:pPr>
            <w:r>
              <w:rPr>
                <w:rFonts w:ascii="DejaVu Sans" w:hAnsi="DejaVu Sans"/>
                <w:b w:val="0"/>
                <w:color w:val="000000"/>
                <w:sz w:val="19"/>
              </w:rPr>
              <w:t>Рівномірніший розподіл ролей</w:t>
            </w:r>
          </w:p>
        </w:tc>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6F8FA"/>
          </w:tcPr>
          <w:p>
            <w:pPr>
              <w:spacing w:line="254" w:lineRule="auto" w:after="40" w:before="20"/>
            </w:pPr>
            <w:r>
              <w:rPr>
                <w:rFonts w:ascii="DejaVu Sans" w:hAnsi="DejaVu Sans"/>
                <w:b w:val="0"/>
                <w:color w:val="000000"/>
                <w:sz w:val="19"/>
              </w:rPr>
              <w:t>Картки ролей і їх зміна у трьох спільних справах</w:t>
            </w:r>
          </w:p>
        </w:tc>
        <w:tc>
          <w:tcPr>
            <w:tcW w:type="dxa" w:w="244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6F8FA"/>
          </w:tcPr>
          <w:p>
            <w:pPr>
              <w:spacing w:line="254" w:lineRule="auto" w:after="40" w:before="20"/>
            </w:pPr>
            <w:r>
              <w:rPr>
                <w:rFonts w:ascii="DejaVu Sans" w:hAnsi="DejaVu Sans"/>
                <w:b w:val="0"/>
                <w:color w:val="000000"/>
                <w:sz w:val="19"/>
              </w:rPr>
              <w:t>Лютий–березень; учні за підтримки педагога</w:t>
            </w:r>
          </w:p>
        </w:tc>
        <w:tc>
          <w:tcPr>
            <w:tcW w:type="dxa" w:w="275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6F8FA"/>
          </w:tcPr>
          <w:p>
            <w:pPr>
              <w:spacing w:line="254" w:lineRule="auto" w:after="40" w:before="20"/>
            </w:pPr>
            <w:r>
              <w:rPr>
                <w:rFonts w:ascii="DejaVu Sans" w:hAnsi="DejaVu Sans"/>
                <w:b w:val="0"/>
                <w:color w:val="000000"/>
                <w:sz w:val="19"/>
              </w:rPr>
              <w:t>У записах кожної справи видно, хто мав роль і кому була потрібна допомога.</w:t>
            </w:r>
          </w:p>
        </w:tc>
      </w:tr>
      <w:tr>
        <w:trPr>
          <w:cantSplit/>
        </w:trPr>
        <w:tc>
          <w:tcPr>
            <w:tcW w:type="dxa" w:w="201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line="254" w:lineRule="auto" w:after="40" w:before="20"/>
            </w:pPr>
            <w:r>
              <w:rPr>
                <w:rFonts w:ascii="DejaVu Sans" w:hAnsi="DejaVu Sans"/>
                <w:b w:val="0"/>
                <w:color w:val="000000"/>
                <w:sz w:val="19"/>
              </w:rPr>
              <w:t>Доступна участь для двох учнів</w:t>
            </w:r>
          </w:p>
        </w:tc>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line="254" w:lineRule="auto" w:after="40" w:before="20"/>
            </w:pPr>
            <w:r>
              <w:rPr>
                <w:rFonts w:ascii="DejaVu Sans" w:hAnsi="DejaVu Sans"/>
                <w:b w:val="0"/>
                <w:color w:val="000000"/>
                <w:sz w:val="19"/>
              </w:rPr>
              <w:t>Погодити індивідуальний спосіб долучення без обов’язкового виступу</w:t>
            </w:r>
          </w:p>
        </w:tc>
        <w:tc>
          <w:tcPr>
            <w:tcW w:type="dxa" w:w="244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line="254" w:lineRule="auto" w:after="40" w:before="20"/>
            </w:pPr>
            <w:r>
              <w:rPr>
                <w:rFonts w:ascii="DejaVu Sans" w:hAnsi="DejaVu Sans"/>
                <w:b w:val="0"/>
                <w:color w:val="000000"/>
                <w:sz w:val="19"/>
              </w:rPr>
              <w:t>До кінця січня; педагог, учень і родина</w:t>
            </w:r>
          </w:p>
        </w:tc>
        <w:tc>
          <w:tcPr>
            <w:tcW w:type="dxa" w:w="275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line="254" w:lineRule="auto" w:after="40" w:before="20"/>
            </w:pPr>
            <w:r>
              <w:rPr>
                <w:rFonts w:ascii="DejaVu Sans" w:hAnsi="DejaVu Sans"/>
                <w:b w:val="0"/>
                <w:color w:val="000000"/>
                <w:sz w:val="19"/>
              </w:rPr>
              <w:t>Кожен має узгоджений спосіб участі; результат обговорено індивідуально.</w:t>
            </w:r>
          </w:p>
        </w:tc>
      </w:tr>
      <w:tr>
        <w:trPr>
          <w:cantSplit/>
        </w:trPr>
        <w:tc>
          <w:tcPr>
            <w:tcW w:type="dxa" w:w="2016"/>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6F8FA"/>
          </w:tcPr>
          <w:p>
            <w:pPr>
              <w:spacing w:line="254" w:lineRule="auto" w:after="40" w:before="20"/>
            </w:pPr>
            <w:r>
              <w:rPr>
                <w:rFonts w:ascii="DejaVu Sans" w:hAnsi="DejaVu Sans"/>
                <w:b w:val="0"/>
                <w:color w:val="000000"/>
                <w:sz w:val="19"/>
              </w:rPr>
              <w:t>Перенесена зустріч</w:t>
            </w:r>
          </w:p>
        </w:tc>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6F8FA"/>
          </w:tcPr>
          <w:p>
            <w:pPr>
              <w:spacing w:line="254" w:lineRule="auto" w:after="40" w:before="20"/>
            </w:pPr>
            <w:r>
              <w:rPr>
                <w:rFonts w:ascii="DejaVu Sans" w:hAnsi="DejaVu Sans"/>
                <w:b w:val="0"/>
                <w:color w:val="000000"/>
                <w:sz w:val="19"/>
              </w:rPr>
              <w:t>Узгодити час і резервний формат із запрошеним фахівцем</w:t>
            </w:r>
          </w:p>
        </w:tc>
        <w:tc>
          <w:tcPr>
            <w:tcW w:type="dxa" w:w="244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6F8FA"/>
          </w:tcPr>
          <w:p>
            <w:pPr>
              <w:spacing w:line="254" w:lineRule="auto" w:after="40" w:before="20"/>
            </w:pPr>
            <w:r>
              <w:rPr>
                <w:rFonts w:ascii="DejaVu Sans" w:hAnsi="DejaVu Sans"/>
                <w:b w:val="0"/>
                <w:color w:val="000000"/>
                <w:sz w:val="19"/>
              </w:rPr>
              <w:t>Січень; класний керівник</w:t>
            </w:r>
          </w:p>
        </w:tc>
        <w:tc>
          <w:tcPr>
            <w:tcW w:type="dxa" w:w="2750"/>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6F8FA"/>
          </w:tcPr>
          <w:p>
            <w:pPr>
              <w:spacing w:line="254" w:lineRule="auto" w:after="40" w:before="20"/>
            </w:pPr>
            <w:r>
              <w:rPr>
                <w:rFonts w:ascii="DejaVu Sans" w:hAnsi="DejaVu Sans"/>
                <w:b w:val="0"/>
                <w:color w:val="000000"/>
                <w:sz w:val="19"/>
              </w:rPr>
              <w:t>Є підтверджена дата або обрана доступна заміна.</w:t>
            </w:r>
          </w:p>
        </w:tc>
      </w:tr>
    </w:tbl>
    <w:p>
      <w:pPr>
        <w:spacing w:after="0"/>
      </w:pPr>
    </w:p>
    <w:p>
      <w:pPr>
        <w:pStyle w:val="Heading1"/>
      </w:pPr>
      <w:r>
        <w:t>Підсумковий висновок</w:t>
      </w:r>
    </w:p>
    <w:p>
      <w:r>
        <w:rPr>
          <w:b w:val="0"/>
        </w:rPr>
        <w:t>Завдання І семестру реалізовано частково. У рівноцінних завданнях із цифрової безпеки кількість повних правильних відповідей збільшилася з 11 до 19 серед тих самих 24 учнів. До створення хоча б одного спільного продукту долучилися 22 учні. Разом із цим шістьом учням ще потрібна підтримка у виконанні групової ролі, а для двох необхідно погодити доступний спосіб участі.</w:t>
      </w:r>
    </w:p>
    <w:p>
      <w:r>
        <w:rPr>
          <w:b w:val="0"/>
        </w:rPr>
        <w:t>У ІІ семестрі зосереджу роботу на практиці безпечних рішень, зміні групових ролей і доступних форматах участі. Дані наступного періоду фіксуватиму однаковим способом, щоб порівняння спиралося на зіставні спостереження.</w:t>
      </w:r>
    </w:p>
    <w:p>
      <w:pPr>
        <w:spacing w:after="120"/>
      </w:pPr>
      <w:r>
        <w:rPr>
          <w:b w:val="0"/>
          <w:color w:val="555555"/>
          <w:sz w:val="18"/>
        </w:rPr>
        <w:t>Матеріали, на які спирається зразок: план семестру; умовні підсумки двох ситуаційних перевірок; записи групової роботи; учнівські продукти; узагальнений облік контакту з родинами. У реальному аналізі перелічіть тільки матеріали, які у вас є.</w:t>
      </w:r>
    </w:p>
    <w:sectPr w:rsidR="00FC693F" w:rsidRPr="0006063C" w:rsidSect="00034616">
      <w:footerReference w:type="default" r:id="rId9"/>
      <w:pgSz w:w="12240" w:h="15840"/>
      <w:pgMar w:top="922" w:right="1037" w:bottom="922" w:left="1037"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5555"/>
        <w:sz w:val="16"/>
      </w:rPr>
      <w:t xml:space="preserve">ОСВІТА+  |  Навчальний приклад  |  Зразок за І семестр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20"/>
    </w:pPr>
    <w:rPr>
      <w:rFonts w:ascii="DejaVu Sans" w:hAnsi="DejaVu Sans" w:eastAsia="DejaVu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DejaVu Sans" w:hAnsi="DejaVu Sans" w:eastAsia="DejaVu San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DejaVu Sans" w:hAnsi="DejaVu Sans" w:eastAsia="DejaVu Sans"/>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DejaVu Sans" w:hAnsi="DejaVu Sans" w:eastAsia="DejaVu Sans"/>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before="0"/>
      <w:contextualSpacing/>
    </w:pPr>
    <w:rPr>
      <w:rFonts w:asciiTheme="majorHAnsi" w:eastAsiaTheme="majorEastAsia" w:hAnsiTheme="majorHAnsi" w:cstheme="majorBidi" w:ascii="DejaVu Sans" w:hAnsi="DejaVu Sans" w:eastAsia="DejaVu Sans"/>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DejaVu Sans" w:hAnsi="DejaVu Sans" w:eastAsia="DejaVu Sans"/>
      <w:i w:val="0"/>
      <w:iCs/>
      <w:color w:val="000000"/>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Аналіз виховної роботи класного керівника</dc:subject>
  <dc:creator>Освіта+ · Освітяник</dc:creator>
  <cp:keywords/>
  <dc:description>generated by python-docx</dc:description>
  <cp:lastModifiedBy/>
  <cp:revision>1</cp:revision>
  <dcterms:created xsi:type="dcterms:W3CDTF">2013-12-23T23:15:00Z</dcterms:created>
  <dcterms:modified xsi:type="dcterms:W3CDTF">2013-12-23T23:15:00Z</dcterms:modified>
  <cp:category/>
</cp:coreProperties>
</file>