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eastAsia="Arial"/>
          <w:b/>
          <w:i w:val="0"/>
          <w:color w:val="165DB3"/>
          <w:sz w:val="19"/>
        </w:rPr>
        <w:t>ОСВІТА</w:t>
      </w:r>
      <w:r>
        <w:rPr>
          <w:rFonts w:ascii="Arial" w:hAnsi="Arial" w:eastAsia="Arial"/>
          <w:b/>
          <w:i w:val="0"/>
          <w:color w:val="123F78"/>
          <w:sz w:val="19"/>
        </w:rPr>
        <w:t>+</w:t>
      </w:r>
      <w:r>
        <w:rPr>
          <w:rFonts w:ascii="Arial" w:hAnsi="Arial" w:eastAsia="Arial"/>
          <w:b/>
          <w:i w:val="0"/>
          <w:color w:val="606A76"/>
          <w:sz w:val="17"/>
        </w:rPr>
        <w:t xml:space="preserve">  ПРАКТИЧНІ МАТЕРІАЛИ ДЛЯ ВЧИТЕЛЯ</w:t>
      </w:r>
    </w:p>
    <w:p>
      <w:pPr>
        <w:keepNext/>
        <w:spacing w:before="0" w:after="80"/>
        <w:jc w:val="left"/>
      </w:pPr>
      <w:r>
        <w:rPr>
          <w:rFonts w:ascii="Arial" w:hAnsi="Arial" w:eastAsia="Arial"/>
          <w:b/>
          <w:i w:val="0"/>
          <w:color w:val="111111"/>
          <w:sz w:val="40"/>
        </w:rPr>
        <w:t>Самоаналіз уроку - заповнений зразок</w:t>
      </w:r>
    </w:p>
    <w:p>
      <w:pPr>
        <w:spacing w:after="180"/>
      </w:pPr>
      <w:r>
        <w:rPr>
          <w:rFonts w:ascii="Arial" w:hAnsi="Arial" w:eastAsia="Arial"/>
          <w:b w:val="0"/>
          <w:i w:val="0"/>
          <w:color w:val="606A76"/>
          <w:sz w:val="20"/>
        </w:rPr>
        <w:t>Приклад для 6 класу. Дані умовні; текст показує логіку аналізу, а не готові фрази для копіювання.</w:t>
      </w:r>
    </w:p>
    <w:p>
      <w:pPr>
        <w:spacing w:after="160"/>
        <w:ind w:left="113" w:right="113"/>
      </w:pPr>
      <w:r>
        <w:rPr>
          <w:rFonts w:ascii="Arial" w:hAnsi="Arial" w:eastAsia="Arial"/>
          <w:b/>
          <w:i w:val="0"/>
          <w:color w:val="123F78"/>
          <w:sz w:val="19"/>
        </w:rPr>
        <w:t xml:space="preserve">Як користуватися: </w:t>
      </w:r>
      <w:r>
        <w:rPr>
          <w:rFonts w:ascii="Arial" w:hAnsi="Arial" w:eastAsia="Arial"/>
          <w:b w:val="0"/>
          <w:i w:val="0"/>
          <w:color w:val="606A76"/>
          <w:sz w:val="19"/>
        </w:rPr>
        <w:t>зверніть увагу на конкретні докази, чесну фіксацію труднощів і чіткий наступний крок. Замініть зміст відповідно до свого предмета, класу та фактичних результатів.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Основні відомості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Учитель / учителька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Олена Коваленко</w:t>
            </w:r>
          </w:p>
        </w:tc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Предмет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Математика</w:t>
            </w:r>
          </w:p>
        </w:tc>
      </w:tr>
      <w:tr>
        <w:trPr>
          <w:cantSplit/>
        </w:trPr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Клас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6-Б</w:t>
            </w:r>
          </w:p>
        </w:tc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Дата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24.09.2026</w:t>
            </w:r>
          </w:p>
        </w:tc>
      </w:tr>
      <w:tr>
        <w:trPr>
          <w:cantSplit/>
        </w:trPr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Тема уроку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Додавання і віднімання дробів з різними знаменниками</w:t>
            </w:r>
          </w:p>
        </w:tc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Місце уроку в темі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3-й урок із 5</w:t>
            </w:r>
          </w:p>
        </w:tc>
      </w:tr>
      <w:tr>
        <w:trPr>
          <w:cantSplit/>
        </w:trPr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Тип / формат уроку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Формування та застосування вмінь</w:t>
            </w:r>
          </w:p>
        </w:tc>
        <w:tc>
          <w:tcPr>
            <w:tcW w:type="dxa" w:w="4819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606A76"/>
                <w:sz w:val="16"/>
              </w:rPr>
              <w:t>Присутні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26 учнів</w:t>
            </w:r>
          </w:p>
        </w:tc>
      </w:tr>
    </w:tbl>
    <w:p/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Заплановані результати навчання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Учні знаходять найменший спільний знаменник; зводять дроби до спільного знаменника; виконують додавання і віднімання та пояснюють послідовність дій.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Результат і докази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721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Результат</w:t>
            </w:r>
          </w:p>
        </w:tc>
        <w:tc>
          <w:tcPr>
            <w:tcW w:type="dxa" w:w="3515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Доказ</w:t>
            </w:r>
          </w:p>
        </w:tc>
        <w:tc>
          <w:tcPr>
            <w:tcW w:type="dxa" w:w="1134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Рівень</w:t>
            </w:r>
          </w:p>
        </w:tc>
        <w:tc>
          <w:tcPr>
            <w:tcW w:type="dxa" w:w="2268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Кому потрібна підтримка</w:t>
            </w:r>
          </w:p>
        </w:tc>
      </w:tr>
      <w:tr>
        <w:trPr>
          <w:cantSplit/>
        </w:trPr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Знаходять спільний знаменник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23 із 26 правильно виконали перший пункт вихідного квитка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досягнуто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3 учням потрібна опора-алгоритм</w:t>
            </w:r>
          </w:p>
        </w:tc>
      </w:tr>
      <w:tr>
        <w:trPr>
          <w:cantSplit/>
        </w:trPr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Зводять дроби до спільного знаменника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19 виконали самостійно; 5 виправили після підказки; 2 не завершили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частково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7 учням - ще одна коротка серія вправ</w:t>
            </w:r>
          </w:p>
        </w:tc>
      </w:tr>
      <w:tr>
        <w:trPr>
          <w:cantSplit/>
        </w:trPr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Пояснюють послідовність дій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У парній перевірці 18 учнів пояснили алгоритм без навідних запитань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частково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8 учням - мовна рамка для пояснення</w:t>
            </w:r>
          </w:p>
        </w:tc>
      </w:tr>
    </w:tbl>
    <w:p>
      <w:pPr>
        <w:spacing w:before="80" w:after="120"/>
      </w:pPr>
      <w:r>
        <w:rPr>
          <w:rFonts w:ascii="Arial" w:hAnsi="Arial" w:eastAsia="Arial"/>
          <w:b/>
          <w:i w:val="0"/>
          <w:color w:val="111111"/>
          <w:sz w:val="19"/>
        </w:rPr>
        <w:t xml:space="preserve">Підсумок: </w:t>
      </w:r>
      <w:r>
        <w:rPr>
          <w:rFonts w:ascii="Arial" w:hAnsi="Arial" w:eastAsia="Arial"/>
          <w:b w:val="0"/>
          <w:i w:val="0"/>
          <w:color w:val="111111"/>
          <w:sz w:val="19"/>
        </w:rPr>
        <w:t>результати переважно досягнуто; потрібне коротке доопрацювання з 7 учнями.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Як працював урок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2608"/>
            <w:shd w:fill="EEF1F4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17"/>
              </w:rPr>
              <w:t>Критерій</w:t>
            </w:r>
          </w:p>
        </w:tc>
        <w:tc>
          <w:tcPr>
            <w:tcW w:type="dxa" w:w="1247"/>
            <w:shd w:fill="EEF1F4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17"/>
              </w:rPr>
              <w:t>Оцінка</w:t>
            </w:r>
          </w:p>
        </w:tc>
        <w:tc>
          <w:tcPr>
            <w:tcW w:type="dxa" w:w="5783"/>
            <w:shd w:fill="EEF1F4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17"/>
              </w:rPr>
              <w:t>Факт / коментар</w:t>
            </w:r>
          </w:p>
        </w:tc>
      </w:tr>
      <w:tr>
        <w:trPr>
          <w:cantSplit/>
        </w:trPr>
        <w:tc>
          <w:tcPr>
            <w:tcW w:type="dxa" w:w="260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Мета й критерії успіху</w:t>
            </w:r>
          </w:p>
        </w:tc>
        <w:tc>
          <w:tcPr>
            <w:tcW w:type="dxa" w:w="1247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Так</w:t>
            </w:r>
          </w:p>
        </w:tc>
        <w:tc>
          <w:tcPr>
            <w:tcW w:type="dxa" w:w="5783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На початку учні прочитали 3 очікувані дії; наприкінці повернулися до них.</w:t>
            </w:r>
          </w:p>
        </w:tc>
      </w:tr>
      <w:tr>
        <w:trPr>
          <w:cantSplit/>
        </w:trPr>
        <w:tc>
          <w:tcPr>
            <w:tcW w:type="dxa" w:w="2608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Активна діяльність учнів</w:t>
            </w:r>
          </w:p>
        </w:tc>
        <w:tc>
          <w:tcPr>
            <w:tcW w:type="dxa" w:w="1247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Переважно</w:t>
            </w:r>
          </w:p>
        </w:tc>
        <w:tc>
          <w:tcPr>
            <w:tcW w:type="dxa" w:w="5783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Було 8 хв пояснення вчителя, далі індивідуальна і парна практика.</w:t>
            </w:r>
          </w:p>
        </w:tc>
      </w:tr>
      <w:tr>
        <w:trPr>
          <w:cantSplit/>
        </w:trPr>
        <w:tc>
          <w:tcPr>
            <w:tcW w:type="dxa" w:w="260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Відповідність завдань</w:t>
            </w:r>
          </w:p>
        </w:tc>
        <w:tc>
          <w:tcPr>
            <w:tcW w:type="dxa" w:w="1247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Частково</w:t>
            </w:r>
          </w:p>
        </w:tc>
        <w:tc>
          <w:tcPr>
            <w:tcW w:type="dxa" w:w="5783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Базові завдання були посильні, але третє завдання мало надто великий стрибок складності.</w:t>
            </w:r>
          </w:p>
        </w:tc>
      </w:tr>
      <w:tr>
        <w:trPr>
          <w:cantSplit/>
        </w:trPr>
        <w:tc>
          <w:tcPr>
            <w:tcW w:type="dxa" w:w="2608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Диференціація й підтримка</w:t>
            </w:r>
          </w:p>
        </w:tc>
        <w:tc>
          <w:tcPr>
            <w:tcW w:type="dxa" w:w="1247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Так</w:t>
            </w:r>
          </w:p>
        </w:tc>
        <w:tc>
          <w:tcPr>
            <w:tcW w:type="dxa" w:w="5783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Використано картку-алгоритм, приклад із кольоровим позначенням та завдання двох рівнів.</w:t>
            </w:r>
          </w:p>
        </w:tc>
      </w:tr>
      <w:tr>
        <w:trPr>
          <w:cantSplit/>
        </w:trPr>
        <w:tc>
          <w:tcPr>
            <w:tcW w:type="dxa" w:w="260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Оцінювання і зворотний зв'язок</w:t>
            </w:r>
          </w:p>
        </w:tc>
        <w:tc>
          <w:tcPr>
            <w:tcW w:type="dxa" w:w="1247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Так</w:t>
            </w:r>
          </w:p>
        </w:tc>
        <w:tc>
          <w:tcPr>
            <w:tcW w:type="dxa" w:w="5783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Парна перевірка за критеріями, усний коментар учителя та вихідний квиток із 3 пунктів.</w:t>
            </w:r>
          </w:p>
        </w:tc>
      </w:tr>
      <w:tr>
        <w:trPr>
          <w:cantSplit/>
        </w:trPr>
        <w:tc>
          <w:tcPr>
            <w:tcW w:type="dxa" w:w="2608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Темп і час</w:t>
            </w:r>
          </w:p>
        </w:tc>
        <w:tc>
          <w:tcPr>
            <w:tcW w:type="dxa" w:w="1247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Частково</w:t>
            </w:r>
          </w:p>
        </w:tc>
        <w:tc>
          <w:tcPr>
            <w:tcW w:type="dxa" w:w="5783"/>
            <w:shd w:fill="F4F8FD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Парна перевірка тривала на 5 хв довше; на підсумок залишилося лише 2 хв.</w:t>
            </w:r>
          </w:p>
        </w:tc>
      </w:tr>
      <w:tr>
        <w:trPr>
          <w:cantSplit/>
        </w:trPr>
        <w:tc>
          <w:tcPr>
            <w:tcW w:type="dxa" w:w="2608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Атмосфера й участь</w:t>
            </w:r>
          </w:p>
        </w:tc>
        <w:tc>
          <w:tcPr>
            <w:tcW w:type="dxa" w:w="1247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Так</w:t>
            </w:r>
          </w:p>
        </w:tc>
        <w:tc>
          <w:tcPr>
            <w:tcW w:type="dxa" w:w="5783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7"/>
              </w:rPr>
              <w:t>Помилки обговорювали без персонального оцінювання; право на додаткову підказку мали всі.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Рефлексія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Що спрацювало найкраще?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Картка-алгоритм і парне пояснення. Після обміну поясненнями 5 учнів самостійно виправили помилки в другому завданні.</w:t>
      </w:r>
    </w:p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Що не спрацювало або забрало зайвий час?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Інструкція до парної перевірки була усною й надто довгою. Частина пар повторно уточнювала порядок дій, тому етап затягнувся на 5 хвилин.</w:t>
      </w:r>
    </w:p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Ймовірна причина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Я не показала короткий зразок перевірки на одному прикладі та не вивела критерії на екран до початку роботи.</w:t>
      </w:r>
    </w:p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Що зміню на наступному уроці?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Почну з 7-хвилинної вправи на зведення дробів; дам критеріям письмову форму; для 7 учнів підготую картку з двома проміжними кроками. Наприкінці залишу 4 хвилини на вихідний квиток.</w:t>
      </w:r>
    </w:p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Кому і яка підтримка потрібна?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Трьом учням - повторення способу знаходження НСК; чотирьом - додаткові вправи зі зведення дробів. Персональні дані в робочому самоаналізі не фіксую.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Короткий висновок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Arial" w:hAnsi="Arial" w:eastAsia="Arial"/>
          <w:b/>
          <w:i w:val="0"/>
          <w:color w:val="111111"/>
          <w:sz w:val="19"/>
        </w:rPr>
        <w:t>Висновок</w:t>
      </w:r>
    </w:p>
    <w:p>
      <w:pPr>
        <w:spacing w:after="120"/>
        <w:ind w:left="142"/>
      </w:pPr>
      <w:r>
        <w:rPr>
          <w:rFonts w:ascii="Arial" w:hAnsi="Arial" w:eastAsia="Arial"/>
          <w:b w:val="0"/>
          <w:i w:val="0"/>
          <w:color w:val="111111"/>
          <w:sz w:val="19"/>
        </w:rPr>
        <w:t>Урок був переважно результативним: більшість учнів виконала базові дії самостійно, а вихідний квиток показав конкретну групу для підтримки. Наступний крок - скоротити інструкцію до парної перевірки й закріпити зведення дробів у диференційованій практиці.</w:t>
      </w:r>
    </w:p>
    <w:p>
      <w:pPr>
        <w:spacing w:before="80" w:after="0"/>
      </w:pPr>
      <w:r>
        <w:rPr>
          <w:rFonts w:ascii="Arial" w:hAnsi="Arial" w:eastAsia="Arial"/>
          <w:b/>
          <w:i w:val="0"/>
          <w:color w:val="606A76"/>
          <w:sz w:val="17"/>
        </w:rPr>
        <w:t xml:space="preserve">Примітка: </w:t>
      </w:r>
      <w:r>
        <w:rPr>
          <w:rFonts w:ascii="Arial" w:hAnsi="Arial" w:eastAsia="Arial"/>
          <w:b w:val="0"/>
          <w:i w:val="0"/>
          <w:color w:val="606A76"/>
          <w:sz w:val="17"/>
        </w:rPr>
        <w:t>приклад не слід копіювати дослівно. Якісний самоаналіз спирається на факти саме вашого уроку.</w:t>
      </w:r>
    </w:p>
    <w:sectPr w:rsidR="00FC693F" w:rsidRPr="0006063C" w:rsidSect="00034616">
      <w:footerReference w:type="default" r:id="rId9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606A76"/>
        <w:sz w:val="16"/>
      </w:rPr>
      <w:t>Освіта+  |  Самоаналіз уроку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