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Arial" w:hAnsi="Arial"/>
          <w:b/>
          <w:color w:val="1769E0"/>
          <w:sz w:val="17"/>
        </w:rPr>
        <w:t>РЕДАГОВАНИЙ WORD + ГОТОВИЙ PDF</w:t>
      </w:r>
    </w:p>
    <w:p>
      <w:pPr>
        <w:pStyle w:val="Title"/>
        <w:keepNext/>
      </w:pPr>
      <w:r>
        <w:t>План виховної роботи класного керівника</w:t>
      </w:r>
    </w:p>
    <w:p>
      <w:pPr>
        <w:spacing w:after="280"/>
      </w:pPr>
      <w:r>
        <w:rPr>
          <w:color w:val="5B6573"/>
          <w:sz w:val="22"/>
        </w:rPr>
        <w:t>Універсальний шаблон на 2026/2027 навчальний рік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Заклад освіти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Клас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Класний керівник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Погоджено / затверджено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Як працювати з шаблоном</w:t>
      </w:r>
    </w:p>
    <w:p>
      <w:pPr>
        <w:pStyle w:val="ListNumber"/>
        <w:spacing w:after="80"/>
        <w:ind w:left="255" w:hanging="113"/>
      </w:pPr>
      <w:r>
        <w:t>Спочатку коротко зафіксуйте потреби класу, а вже потім обирайте теми й заходи.</w:t>
      </w:r>
    </w:p>
    <w:p>
      <w:pPr>
        <w:pStyle w:val="ListNumber"/>
        <w:spacing w:after="80"/>
        <w:ind w:left="255" w:hanging="113"/>
      </w:pPr>
      <w:r>
        <w:t>На місяць достатньо 3-4 змістовних справ: класна взаємодія, безпека, учнівська ініціатива та комунікація з батьками.</w:t>
      </w:r>
    </w:p>
    <w:p>
      <w:pPr>
        <w:pStyle w:val="ListNumber"/>
        <w:spacing w:after="80"/>
        <w:ind w:left="255" w:hanging="113"/>
      </w:pPr>
      <w:r>
        <w:t>Для кожної справи визначте простий результат: рішення класу, пам’ятка, опитування, учнівський продукт або зміна домовленостей.</w:t>
      </w:r>
    </w:p>
    <w:p>
      <w:pPr>
        <w:pStyle w:val="ListNumber"/>
        <w:spacing w:after="80"/>
        <w:ind w:left="255" w:hanging="113"/>
      </w:pPr>
      <w:r>
        <w:t>Дати канікул, завершення занять і загальношкільних заходів впишіть за календарем вашого закладу.</w:t>
      </w:r>
    </w:p>
    <w:p>
      <w:pPr>
        <w:pStyle w:val="Smallnote"/>
      </w:pPr>
      <w:r>
        <w:t>Не дублюйте в цьому документі чутливі персональні дані дітей. Для індивідуальної роботи достатньо нейтральної теми, дати та наступного кроку.</w:t>
      </w:r>
    </w:p>
    <w:p>
      <w:r>
        <w:br w:type="page"/>
      </w:r>
    </w:p>
    <w:p>
      <w:pPr>
        <w:pStyle w:val="Heading1"/>
      </w:pPr>
      <w:r>
        <w:t>1. Стартова картина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Кількість учнів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Усього: ____   дівчат: ____   хлопців: 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Сильні сторони класу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Потреби та труднощі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важливо учням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Джерела інформації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□ спостереження   □ коротке опитування   □ учнівська зустріч   □ розмова з батьками   □ дані команди супроводу</w:t>
            </w:r>
          </w:p>
        </w:tc>
      </w:tr>
    </w:tbl>
    <w:p>
      <w:pPr>
        <w:spacing w:after="0"/>
      </w:pPr>
    </w:p>
    <w:p>
      <w:pPr>
        <w:pStyle w:val="Heading1"/>
      </w:pPr>
      <w:r>
        <w:t>2. Мета та пріоритети року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Мета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Пріоритет 1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Пріоритет 2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Пріоритет 3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Як зрозуміємо, що є результат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2"/>
      </w:pPr>
      <w:r>
        <w:t>Орієнтири для змісту</w:t>
      </w:r>
    </w:p>
    <w:p>
      <w:pPr>
        <w:pStyle w:val="ListBullet"/>
        <w:spacing w:after="40"/>
        <w:ind w:left="255" w:hanging="113"/>
      </w:pPr>
      <w:r>
        <w:t>згуртованість класу, учнівський голос і самоврядування;</w:t>
      </w:r>
    </w:p>
    <w:p>
      <w:pPr>
        <w:pStyle w:val="ListBullet"/>
        <w:spacing w:after="40"/>
        <w:ind w:left="255" w:hanging="113"/>
      </w:pPr>
      <w:r>
        <w:t>громадянська відповідальність, українська ідентичність і культура пам’яті;</w:t>
      </w:r>
    </w:p>
    <w:p>
      <w:pPr>
        <w:pStyle w:val="ListBullet"/>
        <w:spacing w:after="40"/>
        <w:ind w:left="255" w:hanging="113"/>
      </w:pPr>
      <w:r>
        <w:t>безпека, здоров’я, психологічне благополуччя та протидія булінгу;</w:t>
      </w:r>
    </w:p>
    <w:p>
      <w:pPr>
        <w:pStyle w:val="ListBullet"/>
        <w:spacing w:after="40"/>
        <w:ind w:left="255" w:hanging="113"/>
      </w:pPr>
      <w:r>
        <w:t>відповідальне навчання, академічна доброчесність і цифрова грамотність;</w:t>
      </w:r>
    </w:p>
    <w:p>
      <w:pPr>
        <w:pStyle w:val="ListBullet"/>
        <w:spacing w:after="40"/>
        <w:ind w:left="255" w:hanging="113"/>
      </w:pPr>
      <w:r>
        <w:t>екологічна свідомість, волонтерство й корисні справи для громади;</w:t>
      </w:r>
    </w:p>
    <w:p>
      <w:pPr>
        <w:pStyle w:val="ListBullet"/>
        <w:spacing w:after="40"/>
        <w:ind w:left="255" w:hanging="113"/>
      </w:pPr>
      <w:r>
        <w:t>самопізнання, життєві навички та профорієнтація.</w:t>
      </w:r>
    </w:p>
    <w:p>
      <w:r>
        <w:br w:type="page"/>
      </w:r>
    </w:p>
    <w:p>
      <w:pPr>
        <w:pStyle w:val="Heading1"/>
      </w:pPr>
      <w:r>
        <w:t>3. Календарний план</w:t>
      </w:r>
    </w:p>
    <w:p>
      <w:pPr>
        <w:pStyle w:val="Smallnote"/>
      </w:pPr>
      <w:r>
        <w:t>Період може бути датою, тижнем або позначкою «протягом місяця». Залишайте план гнучким до безпекової ситуації та рішень закладу.</w:t>
      </w:r>
    </w:p>
    <w:p>
      <w:pPr>
        <w:pStyle w:val="Heading2"/>
      </w:pPr>
      <w:r>
        <w:t>Вересень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pPr>
        <w:pStyle w:val="Heading2"/>
      </w:pPr>
      <w:r>
        <w:t>Жовтень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Листопад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pPr>
        <w:pStyle w:val="Heading2"/>
      </w:pPr>
      <w:r>
        <w:t>Грудень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Січень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pPr>
        <w:pStyle w:val="Heading2"/>
      </w:pPr>
      <w:r>
        <w:t>Лютий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Березень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pPr>
        <w:pStyle w:val="Heading2"/>
      </w:pPr>
      <w:r>
        <w:t>Квітень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Травень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pPr>
        <w:pStyle w:val="Heading2"/>
      </w:pPr>
      <w:r>
        <w:t>Червень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  <w:tr>
        <w:trPr>
          <w:cantSplit/>
          <w:trHeight w:val="539" w:hRule="atLeast"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________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 проведено</w:t>
              <w:br/>
              <w:t>□ перенесено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4. Робота з батьками та партнерами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175"/>
        <w:gridCol w:w="2381"/>
        <w:gridCol w:w="3175"/>
      </w:tblGrid>
      <w:tr>
        <w:trPr>
          <w:tblHeader w:val="true"/>
          <w:cantSplit/>
        </w:trPr>
        <w:tc>
          <w:tcPr>
            <w:tcW w:type="dxa" w:w="147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Період</w:t>
            </w:r>
          </w:p>
        </w:tc>
        <w:tc>
          <w:tcPr>
            <w:tcW w:type="dxa" w:w="317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Тема / потреба</w:t>
            </w:r>
          </w:p>
        </w:tc>
        <w:tc>
          <w:tcPr>
            <w:tcW w:type="dxa" w:w="2381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Формат</w:t>
            </w:r>
          </w:p>
        </w:tc>
        <w:tc>
          <w:tcPr>
            <w:tcW w:type="dxa" w:w="317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Домовленість / результат</w:t>
            </w:r>
          </w:p>
        </w:tc>
      </w:tr>
      <w:tr>
        <w:trPr>
          <w:cantSplit/>
        </w:trPr>
        <w:tc>
          <w:tcPr>
            <w:tcW w:type="dxa" w:w="147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8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47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8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47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8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47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8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47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8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47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38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5. Індивідуальна підтримка учнів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1984"/>
        <w:gridCol w:w="2835"/>
        <w:gridCol w:w="141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Дата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Тема звернення</w:t>
            </w:r>
          </w:p>
        </w:tc>
        <w:tc>
          <w:tcPr>
            <w:tcW w:type="dxa" w:w="198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Учасники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Наступний крок</w:t>
            </w:r>
          </w:p>
        </w:tc>
        <w:tc>
          <w:tcPr>
            <w:tcW w:type="dxa" w:w="141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Статус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8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41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8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41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8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41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8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41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8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41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98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  <w:tc>
          <w:tcPr>
            <w:tcW w:type="dxa" w:w="141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</w:r>
          </w:p>
        </w:tc>
      </w:tr>
    </w:tbl>
    <w:p>
      <w:pPr>
        <w:spacing w:after="0"/>
      </w:pPr>
    </w:p>
    <w:p>
      <w:pPr>
        <w:pStyle w:val="Smallnote"/>
      </w:pPr>
      <w:r>
        <w:t>Фіксуйте лише необхідний мінімум. Конфіденційну інформацію зберігайте за правилами закладу, а складні випадки передавайте відповідним фахівцям.</w:t>
      </w:r>
    </w:p>
    <w:p>
      <w:r>
        <w:br w:type="page"/>
      </w:r>
    </w:p>
    <w:p>
      <w:pPr>
        <w:pStyle w:val="Heading1"/>
      </w:pPr>
      <w:r>
        <w:t>6. Безпека та обов’язкові нагадування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3969"/>
        <w:gridCol w:w="2268"/>
        <w:gridCol w:w="2608"/>
      </w:tblGrid>
      <w:tr>
        <w:trPr>
          <w:tblHeader w:val="true"/>
          <w:cantSplit/>
        </w:trPr>
        <w:tc>
          <w:tcPr>
            <w:tcW w:type="dxa" w:w="1361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3969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Тема</w:t>
            </w:r>
          </w:p>
        </w:tc>
        <w:tc>
          <w:tcPr>
            <w:tcW w:type="dxa" w:w="2268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Формат</w:t>
            </w:r>
          </w:p>
        </w:tc>
        <w:tc>
          <w:tcPr>
            <w:tcW w:type="dxa" w:w="2608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6"/>
              </w:rPr>
              <w:t>Підтвердження / примітка</w:t>
            </w:r>
          </w:p>
        </w:tc>
      </w:tr>
      <w:tr>
        <w:trPr>
          <w:cantSplit/>
        </w:trPr>
        <w:tc>
          <w:tcPr>
            <w:tcW w:type="dxa" w:w="136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969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6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60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969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6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60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969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6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60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969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6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60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969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6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60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969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6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60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136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3969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26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60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7. Підсумкова рефлексія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вдалося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Які зміни помітили учні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потребує продовження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скоригувати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________________________________________________________</w:t>
              <w:br/>
              <w:t>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Нормативна та методична опора</w:t>
      </w:r>
    </w:p>
    <w:p>
      <w:pPr>
        <w:pStyle w:val="Smallnote"/>
        <w:ind w:left="227" w:hanging="142"/>
      </w:pPr>
      <w:r>
        <w:t xml:space="preserve">• </w:t>
      </w:r>
      <w:hyperlink r:id="rId11">
        <w:r>
          <w:rPr>
            <w:color w:val="1769E0"/>
            <w:u w:val="single"/>
          </w:rPr>
          <w:t>Лист МОН від 14.08.2008 № 1/9-520 щодо планування роботи класного керівника</w:t>
        </w:r>
      </w:hyperlink>
    </w:p>
    <w:p>
      <w:pPr>
        <w:pStyle w:val="Smallnote"/>
        <w:ind w:left="227" w:hanging="142"/>
      </w:pPr>
      <w:r>
        <w:t xml:space="preserve">• </w:t>
      </w:r>
      <w:hyperlink r:id="rId12">
        <w:r>
          <w:rPr>
            <w:color w:val="1769E0"/>
            <w:u w:val="single"/>
          </w:rPr>
          <w:t>Лист МОН від 19.11.2024 № 1/21639-24 про організацію виховного процесу</w:t>
        </w:r>
      </w:hyperlink>
    </w:p>
    <w:p>
      <w:pPr>
        <w:pStyle w:val="Smallnote"/>
        <w:ind w:left="227" w:hanging="142"/>
      </w:pPr>
      <w:r>
        <w:t xml:space="preserve">• </w:t>
      </w:r>
      <w:hyperlink r:id="rId13">
        <w:r>
          <w:rPr>
            <w:color w:val="1769E0"/>
            <w:u w:val="single"/>
          </w:rPr>
          <w:t>Організація 2026/2027 навчального року</w:t>
        </w:r>
      </w:hyperlink>
    </w:p>
    <w:p>
      <w:pPr>
        <w:pStyle w:val="Smallnote"/>
        <w:ind w:left="227" w:hanging="142"/>
      </w:pPr>
      <w:r>
        <w:t xml:space="preserve">• </w:t>
      </w:r>
      <w:hyperlink r:id="rId14">
        <w:r>
          <w:rPr>
            <w:color w:val="1769E0"/>
            <w:u w:val="single"/>
          </w:rPr>
          <w:t>Концепція професійної орієнтації та кар’єрного консультування на 2025-2030 роки</w:t>
        </w:r>
      </w:hyperlink>
    </w:p>
    <w:p>
      <w:pPr>
        <w:pStyle w:val="Smallnote"/>
        <w:ind w:left="227" w:hanging="142"/>
      </w:pPr>
      <w:r>
        <w:t xml:space="preserve">• </w:t>
      </w:r>
      <w:hyperlink r:id="rId15">
        <w:r>
          <w:rPr>
            <w:color w:val="1769E0"/>
            <w:u w:val="single"/>
          </w:rPr>
          <w:t>Концепція національно-патріотичного виховання в системі освіти України</w:t>
        </w:r>
      </w:hyperlink>
    </w:p>
    <w:p>
      <w:pPr>
        <w:pStyle w:val="Smallnote"/>
        <w:ind w:left="227" w:hanging="142"/>
      </w:pPr>
      <w:r>
        <w:t xml:space="preserve">• </w:t>
      </w:r>
      <w:hyperlink r:id="rId16">
        <w:r>
          <w:rPr>
            <w:color w:val="1769E0"/>
            <w:u w:val="single"/>
          </w:rPr>
          <w:t>Рекомендації щодо безпечного освітнього середовища та протидії булінгу</w:t>
        </w:r>
      </w:hyperlink>
    </w:p>
    <w:p>
      <w:pPr>
        <w:pStyle w:val="Smallnote"/>
      </w:pPr>
      <w:r>
        <w:t>Примітка. Матеріал має орієнтовний характер. Узгодьте структуру, дати, заходи й порядок погодження з річним планом та локальними документами вашого закладу освіти.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822" w:left="879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" w:lineRule="auto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7307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B6573"/>
              <w:sz w:val="16"/>
            </w:rPr>
            <w:t>osv+  •  редагуйте під потреби класу</w:t>
          </w:r>
        </w:p>
      </w:tc>
      <w:tc>
        <w:tcPr>
          <w:tcW w:type="dxa" w:w="2841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color w:val="5B6573"/>
              <w:sz w:val="16"/>
            </w:rPr>
            <w:t xml:space="preserve">Сторінка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1769E0"/>
        <w:sz w:val="18"/>
      </w:rPr>
      <w:t>ОСВІТА+</w:t>
    </w:r>
    <w:r>
      <w:rPr>
        <w:rFonts w:ascii="Arial" w:hAnsi="Arial"/>
        <w:color w:val="5B6573"/>
        <w:sz w:val="16"/>
      </w:rPr>
      <w:t xml:space="preserve">  практичні матеріали для вчителя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82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1182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 w:eastAsia="Arial"/>
      <w:color w:val="5B657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zakon.rada.gov.ua/rada/show/v_520290-08" TargetMode="External"/><Relationship Id="rId12" Type="http://schemas.openxmlformats.org/officeDocument/2006/relationships/hyperlink" Target="https://mon.gov.ua/npa/pro-metodychni-rekomendatsii-shchodo-orhanizatsii-vykhovnoho-protsesu-v-zakladakh-osvity" TargetMode="External"/><Relationship Id="rId13" Type="http://schemas.openxmlformats.org/officeDocument/2006/relationships/hyperlink" Target="https://mon.gov.ua/news/vyznacheno-tryvalist-ta-osoblyvosti-orhanizatsii-20262027-navchalnoho-roku" TargetMode="External"/><Relationship Id="rId14" Type="http://schemas.openxmlformats.org/officeDocument/2006/relationships/hyperlink" Target="https://mon.gov.ua/npa/pro-zatverdzhennia-kontseptsii-profesiinoi-oriientatsii-ta-kariernoho-konsultuvannia-u-systemi-osvity-ukrainy-na-2025-2030-roky-ta-planu-zakhodiv-z-realizatsii-kontseptsii-profesiinoi-oriient" TargetMode="External"/><Relationship Id="rId15" Type="http://schemas.openxmlformats.org/officeDocument/2006/relationships/hyperlink" Target="https://mon.gov.ua/npa/pro-deyaki-pitannya-nacionalno-patriotichnogo-vihovannya-v-zakladah-osviti-ukrayini-ta-viznannya-takim-sho-vtrativ-chinnist-nakazu-ministerstva-osviti-i-nauki-ukrayini-vid-16062015-641" TargetMode="External"/><Relationship Id="rId16" Type="http://schemas.openxmlformats.org/officeDocument/2006/relationships/hyperlink" Target="https://mon.gov.ua/npa/pro-stvorennya-bezpechnogo-osvitnogo-seredovisha-v-zakladi-osviti-ta-poperedzhennya-i-protidiyi-bulingu-ckuvann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