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Arial" w:hAnsi="Arial"/>
          <w:b/>
          <w:color w:val="1769E0"/>
          <w:sz w:val="17"/>
        </w:rPr>
        <w:t>ЗАПОВНЕНИЙ ПРИКЛАД</w:t>
      </w:r>
    </w:p>
    <w:p>
      <w:pPr>
        <w:pStyle w:val="Title"/>
        <w:keepNext/>
      </w:pPr>
      <w:r>
        <w:t>План виховної роботи класного керівника</w:t>
      </w:r>
    </w:p>
    <w:p>
      <w:pPr>
        <w:spacing w:after="280"/>
      </w:pPr>
      <w:r>
        <w:rPr>
          <w:color w:val="5B6573"/>
          <w:sz w:val="22"/>
        </w:rPr>
        <w:t>Заповнений зразок для 7 класу на 2026/2027 навчальний рік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Заклад освіти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Назва закладу освіти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Клас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7-А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Класний керівник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ПІБ класного керівника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Період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1 вересня 2026 року - 30 червня 2027 року*</w:t>
            </w:r>
          </w:p>
        </w:tc>
      </w:tr>
    </w:tbl>
    <w:p>
      <w:pPr>
        <w:spacing w:after="0"/>
      </w:pPr>
    </w:p>
    <w:p>
      <w:pPr>
        <w:pStyle w:val="Smallnote"/>
      </w:pPr>
      <w:r>
        <w:t>* Фактичні дати завершення занять і канікул визначає заклад освіти. Замініть орієнтовні періоди на дати зі свого календаря.</w:t>
      </w:r>
    </w:p>
    <w:p>
      <w:pPr>
        <w:pStyle w:val="Heading1"/>
      </w:pPr>
      <w:r>
        <w:t>Коротка характеристика класу</w:t>
      </w:r>
    </w:p>
    <w:p>
      <w:r>
        <w:t>У класі 28 учнів. Діти активно взаємодіють у малих групах, охоче беруть участь у творчих та цифрових проєктах. Потребують розвитку навичок спокійного розв’язання конфліктів, відповідального користування цифровими сервісами, самостійного планування навчання та більш рівномірного розподілу класних ролей.</w:t>
      </w:r>
    </w:p>
    <w:p>
      <w:pPr>
        <w:pStyle w:val="Heading1"/>
      </w:pPr>
      <w:r>
        <w:t>Мета року</w:t>
      </w:r>
    </w:p>
    <w:p>
      <w:r>
        <w:t>Створити безпечну й партнерську атмосферу, у якій учні мають голос, вчаться відповідальності, підтримують одне одного та бачать практичний сенс спільних справ.</w:t>
      </w:r>
    </w:p>
    <w:p>
      <w:pPr>
        <w:pStyle w:val="Heading2"/>
      </w:pPr>
      <w:r>
        <w:t>Три пріоритети</w:t>
      </w:r>
    </w:p>
    <w:p>
      <w:pPr>
        <w:pStyle w:val="ListBullet"/>
        <w:spacing w:after="40"/>
        <w:ind w:left="255" w:hanging="113"/>
      </w:pPr>
      <w:r>
        <w:t>психологічна і фізична безпека, повага до гідності та меж;</w:t>
      </w:r>
    </w:p>
    <w:p>
      <w:pPr>
        <w:pStyle w:val="ListBullet"/>
        <w:spacing w:after="40"/>
        <w:ind w:left="255" w:hanging="113"/>
      </w:pPr>
      <w:r>
        <w:t>самостійність, академічна доброчесність і цифрова грамотність;</w:t>
      </w:r>
    </w:p>
    <w:p>
      <w:pPr>
        <w:pStyle w:val="ListBullet"/>
        <w:spacing w:after="40"/>
        <w:ind w:left="255" w:hanging="113"/>
      </w:pPr>
      <w:r>
        <w:t>учнівська ініціатива, громадянська відповідальність і пізнання власних інтересів.</w:t>
      </w:r>
    </w:p>
    <w:p>
      <w:pPr>
        <w:pStyle w:val="Heading2"/>
      </w:pPr>
      <w:r>
        <w:t>Прості індикатори</w:t>
      </w:r>
    </w:p>
    <w:p>
      <w:pPr>
        <w:pStyle w:val="ListBullet"/>
        <w:spacing w:after="40"/>
        <w:ind w:left="255" w:hanging="113"/>
      </w:pPr>
      <w:r>
        <w:t>не менше 70% учнів беруть участь хоча б в одній ініціативі або ролі;</w:t>
      </w:r>
    </w:p>
    <w:p>
      <w:pPr>
        <w:pStyle w:val="ListBullet"/>
        <w:spacing w:after="40"/>
        <w:ind w:left="255" w:hanging="113"/>
      </w:pPr>
      <w:r>
        <w:t>клас двічі на семестр переглядає власні домовленості на основі короткого опитування;</w:t>
      </w:r>
    </w:p>
    <w:p>
      <w:pPr>
        <w:pStyle w:val="ListBullet"/>
        <w:spacing w:after="40"/>
        <w:ind w:left="255" w:hanging="113"/>
      </w:pPr>
      <w:r>
        <w:t>після кожної ключової справи є один видимий результат і короткий висновок.</w:t>
      </w:r>
    </w:p>
    <w:p>
      <w:r>
        <w:br w:type="page"/>
      </w:r>
    </w:p>
    <w:p>
      <w:pPr>
        <w:pStyle w:val="Heading1"/>
      </w:pPr>
      <w:r>
        <w:t>Календарний план</w:t>
      </w:r>
    </w:p>
    <w:p>
      <w:pPr>
        <w:pStyle w:val="Heading2"/>
      </w:pPr>
      <w:r>
        <w:t>Вересень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1-й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Стартова зустріч «Наш клас у новому році»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Коло рішень; учні формують 5 правил класу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Узгоджені правила і ролі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1-2-й тиждень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Безпечний маршрут і дії під час тривоги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Мініпрактикум; учні перевіряють алгоритм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Кожен може пояснити порядок дій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2-й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Коротке опитування потреб та інтересів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Анонімна анкета + обговорення результатів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Визначено 3 пріоритети класу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Протягом місяця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Зустріч із батьками «Як підтримати сьомикласника»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Змішана зустріч; спільні правила комунікації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Узгоджено канали і строки зв’язку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Жовтень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1-й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Гідність і відповідальність: що означає захищати своє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Кейс-обговорення; модератори з учнів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 називають відповідальні дії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2-й тиждень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Цифровий баланс і приватність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Самодіагностика + пам’ятка від мінігруп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Створено правила цифрової гігієни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3-й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Клас без приниження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Ситуаційні вправи; маршрут звернення по допомогу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 знають, як діяти у випадку булінгу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За потреби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Індивідуальні консультації про адаптацію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Короткі зустрічі з учнем і/або батьками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Визначено один реалістичний крок підтримки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</w:pPr>
      <w:r>
        <w:t>Листопад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1-й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Чесне навчання і власна робота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Розбір кейсів; учні створюють чекліст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Клас розрізняє допомогу, цитування і списування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2-й тиждень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Мої сильні сторони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Картки самопізнання + взаємний позитивний відгук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Кожен учень називає 2 сильні сторони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3-й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Мова, культура і пам’ять родини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Мініісторії без розкриття чутливих даних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Створено класну добірку історій / фактів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Протягом місяця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Спільна корисна справа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Учнівське голосування, план і розподіл ролей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Завершено одну безпечну ініціативу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Грудень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1-й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Права, межі та відповідальність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Станції з життєвими ситуаціями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 називають безпечні способи захисту меж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2-й тиждень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Як підтримати себе під час стресу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Практика простих технік + список ресурсів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Кожен обирає 2 прийнятні стратегії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3-й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Підсумок семестру без ярликів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Рефлексія «залишити / змінити / спробувати»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Зафіксовано рішення на ІІ семестр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Перед перервою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Безпека взимку й під час свят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Короткий інструктаж + учнівський квіз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Перевірено розуміння правил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</w:pPr>
      <w:r>
        <w:t>Січень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Початок семестру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Перезапуск цілей і класних ролей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Особисті мікроцілі + оновлення доручень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Кожен визначив один крок на місяць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2-й тиждень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Соборність: єдність у щоденних діях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Карта зв’язків громади; робота груп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 наводять приклади співпраці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3-й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Моя безпека взимку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Розбір ситуацій: лід, дорога, електроприлади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 обирають правильний алгоритм дій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Протягом місяця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Розмова з батьками про навчальні звички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Коротка пам’ятка + консультації за запитом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Домовленості без надмірного контролю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Лютий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1-й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Безпечний інтернет і персональні дані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Кейс-гра; учнівський аудит налаштувань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Кожен знає 3 правила захисту даних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2-й тиждень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Повага, згода і здорові межі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Вікові ситуації; фрази безпечної відмови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 тренують поважну комунікацію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3-й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Професії навколо нас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Мініінтерв’ю з дорослим / онлайн-гостем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 співвідносять професію і навички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Протягом місяця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Моніторинг клімату в класі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Три анонімні питання + спільне рішення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Обрано одну зміну для комфортнішої взаємодії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</w:pPr>
      <w:r>
        <w:t>Березень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1-й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Культура, яка говорить зі мною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Вибір твору / пісні / тексту і коротке пояснення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Створено учнівську культурну добірку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2-й тиждень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Медіаповідомлення: факт, думка, маніпуляція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Робота з безпечними прикладами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 застосовують 3 кроки перевірки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3-й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Мікропроєкт «Менше відходів у класі»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Учнівські команди; простий вимір до/після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Є видимий результат і короткий висновок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Протягом місяця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Профілактика виснаження перед контрольними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Планування тижня + взаємопідтримка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 називають реалістичний режим підготовки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Квітень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1-й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Цивільний захист: діємо спокійно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Практичне повторення алгоритмів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 відтворюють алгоритм без підказки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2-й тиждень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Природа громади: що можемо покращити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Спостереження / фотокарта без персональних даних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Обрано посильну екодію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3-й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Мої інтереси і майбутня освітня траєкторія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Карта інтересів + пошук навчальних можливостей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Кожен формулює 1-2 напрями для дослідження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Протягом місяця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Батьківська консультація «Підтримка самостійності»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Пам’ятка + запитання-відповіді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Узгоджено способи підтримки без виконання за дитину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2"/>
      </w:pPr>
      <w:r>
        <w:t>Травень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1-й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Пам’ять і відповідальне вшанування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Робота з перевіреними джерелами; хвилина рефлексії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 пояснюють значення відповідальної пам’яті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2-й тиждень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Перша допомога: виклик і базові кроки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Практикум із фахівцем / за матеріалами школи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Учні знають номер допомоги і послідовність дій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3-й тиждень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Портфоліо класу: наші маленькі перемоги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Команди збирають продукти і короткі висновки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Зафіксовано внесок різних учнів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Кінець місяця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Безпечне літо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Квіз: вода, дорога, незнайомі предмети, онлайн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Виявлено теми, які треба повторити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</w:tbl>
    <w:p>
      <w:pPr>
        <w:spacing w:after="0"/>
      </w:pPr>
    </w:p>
    <w:p>
      <w:pPr>
        <w:pStyle w:val="Heading2"/>
      </w:pPr>
      <w:r>
        <w:t>Червень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2835"/>
        <w:gridCol w:w="2494"/>
        <w:gridCol w:w="2494"/>
        <w:gridCol w:w="1247"/>
      </w:tblGrid>
      <w:tr>
        <w:trPr>
          <w:tblHeader w:val="true"/>
          <w:cantSplit/>
        </w:trPr>
        <w:tc>
          <w:tcPr>
            <w:tcW w:type="dxa" w:w="113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Справа / тема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Формат і роль учнів</w:t>
            </w:r>
          </w:p>
        </w:tc>
        <w:tc>
          <w:tcPr>
            <w:tcW w:type="dxa" w:w="2494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Очікуваний результат</w:t>
            </w:r>
          </w:p>
        </w:tc>
        <w:tc>
          <w:tcPr>
            <w:tcW w:type="dxa" w:w="124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4"/>
              </w:rPr>
              <w:t>Відмітка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За календарем школи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Річна рефлексія «Що змінилося в нашому класі»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Анонімний відгук + коло підсумків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Визначено сильні сторони і 2 цілі на майбутнє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За календарем школи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Оновлення особистих цілей на літо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План «хочу / можу / перший крок»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Кожен має посильний план без оцінювання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Перед завершенням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Повторний інструктаж з літньої безпеки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Ситуаційні картки + перевірка розуміння</w:t>
            </w:r>
          </w:p>
        </w:tc>
        <w:tc>
          <w:tcPr>
            <w:tcW w:type="dxa" w:w="2494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Ключові правила відтворені учнями</w:t>
            </w:r>
          </w:p>
        </w:tc>
        <w:tc>
          <w:tcPr>
            <w:tcW w:type="dxa" w:w="124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  <w:tr>
        <w:trPr>
          <w:cantSplit/>
        </w:trPr>
        <w:tc>
          <w:tcPr>
            <w:tcW w:type="dxa" w:w="113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Підсумок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Зв’язок із батьками та передавання важливої інформації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Підсумкове повідомлення / консультації</w:t>
            </w:r>
          </w:p>
        </w:tc>
        <w:tc>
          <w:tcPr>
            <w:tcW w:type="dxa" w:w="2494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Батьки знають канали зв’язку і підтримки</w:t>
            </w:r>
          </w:p>
        </w:tc>
        <w:tc>
          <w:tcPr>
            <w:tcW w:type="dxa" w:w="124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4"/>
              </w:rPr>
              <w:t>□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Робота з батьками та партнерами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835"/>
        <w:gridCol w:w="2721"/>
        <w:gridCol w:w="3175"/>
      </w:tblGrid>
      <w:tr>
        <w:trPr>
          <w:tblHeader w:val="true"/>
          <w:cantSplit/>
        </w:trPr>
        <w:tc>
          <w:tcPr>
            <w:tcW w:type="dxa" w:w="1587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Період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Тема</w:t>
            </w:r>
          </w:p>
        </w:tc>
        <w:tc>
          <w:tcPr>
            <w:tcW w:type="dxa" w:w="2721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Формат</w:t>
            </w:r>
          </w:p>
        </w:tc>
        <w:tc>
          <w:tcPr>
            <w:tcW w:type="dxa" w:w="317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Очікувана домовленість</w:t>
            </w:r>
          </w:p>
        </w:tc>
      </w:tr>
      <w:tr>
        <w:trPr>
          <w:cantSplit/>
        </w:trPr>
        <w:tc>
          <w:tcPr>
            <w:tcW w:type="dxa" w:w="158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Вересень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Адаптація і канали зв’язку</w:t>
            </w:r>
          </w:p>
        </w:tc>
        <w:tc>
          <w:tcPr>
            <w:tcW w:type="dxa" w:w="272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Зустріч + короткий підсумок у погодженому каналі</w:t>
            </w:r>
          </w:p>
        </w:tc>
        <w:tc>
          <w:tcPr>
            <w:tcW w:type="dxa" w:w="317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Є правила комунікації і строки відповіді</w:t>
            </w:r>
          </w:p>
        </w:tc>
      </w:tr>
      <w:tr>
        <w:trPr>
          <w:cantSplit/>
        </w:trPr>
        <w:tc>
          <w:tcPr>
            <w:tcW w:type="dxa" w:w="158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Листопад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Навчальна самостійність</w:t>
            </w:r>
          </w:p>
        </w:tc>
        <w:tc>
          <w:tcPr>
            <w:tcW w:type="dxa" w:w="272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Пам’ятка + консультації за запитом</w:t>
            </w:r>
          </w:p>
        </w:tc>
        <w:tc>
          <w:tcPr>
            <w:tcW w:type="dxa" w:w="317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Батьки підтримують планування, але не виконують завдання за дитину</w:t>
            </w:r>
          </w:p>
        </w:tc>
      </w:tr>
      <w:tr>
        <w:trPr>
          <w:cantSplit/>
        </w:trPr>
        <w:tc>
          <w:tcPr>
            <w:tcW w:type="dxa" w:w="158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Січень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Навчальні звички без надмірного контролю</w:t>
            </w:r>
          </w:p>
        </w:tc>
        <w:tc>
          <w:tcPr>
            <w:tcW w:type="dxa" w:w="272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Мініопитування і спільні рекомендації</w:t>
            </w:r>
          </w:p>
        </w:tc>
        <w:tc>
          <w:tcPr>
            <w:tcW w:type="dxa" w:w="317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Обрано 1-2 посильні звички</w:t>
            </w:r>
          </w:p>
        </w:tc>
      </w:tr>
      <w:tr>
        <w:trPr>
          <w:cantSplit/>
        </w:trPr>
        <w:tc>
          <w:tcPr>
            <w:tcW w:type="dxa" w:w="1587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Квітень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Інтереси та майбутня траєкторія</w:t>
            </w:r>
          </w:p>
        </w:tc>
        <w:tc>
          <w:tcPr>
            <w:tcW w:type="dxa" w:w="272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Онлайн-зустріч / гість</w:t>
            </w:r>
          </w:p>
        </w:tc>
        <w:tc>
          <w:tcPr>
            <w:tcW w:type="dxa" w:w="317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Дорослі ставлять запитання про інтереси, не нав’язують вибір</w:t>
            </w:r>
          </w:p>
        </w:tc>
      </w:tr>
      <w:tr>
        <w:trPr>
          <w:cantSplit/>
        </w:trPr>
        <w:tc>
          <w:tcPr>
            <w:tcW w:type="dxa" w:w="1587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Травень-червень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Підсумки і безпечне літо</w:t>
            </w:r>
          </w:p>
        </w:tc>
        <w:tc>
          <w:tcPr>
            <w:tcW w:type="dxa" w:w="272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Повідомлення + індивідуальні консультації</w:t>
            </w:r>
          </w:p>
        </w:tc>
        <w:tc>
          <w:tcPr>
            <w:tcW w:type="dxa" w:w="317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Батьки знають ключові ризики і ресурси підтримки</w:t>
            </w:r>
          </w:p>
        </w:tc>
      </w:tr>
    </w:tbl>
    <w:p>
      <w:pPr>
        <w:spacing w:after="0"/>
      </w:pPr>
    </w:p>
    <w:p>
      <w:pPr>
        <w:pStyle w:val="Heading1"/>
      </w:pPr>
      <w:r>
        <w:t>Індивідуальна робота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2551"/>
        <w:gridCol w:w="3005"/>
        <w:gridCol w:w="2835"/>
      </w:tblGrid>
      <w:tr>
        <w:trPr>
          <w:tblHeader w:val="true"/>
          <w:cantSplit/>
        </w:trPr>
        <w:tc>
          <w:tcPr>
            <w:tcW w:type="dxa" w:w="1928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Коли</w:t>
            </w:r>
          </w:p>
        </w:tc>
        <w:tc>
          <w:tcPr>
            <w:tcW w:type="dxa" w:w="2551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Підстава</w:t>
            </w:r>
          </w:p>
        </w:tc>
        <w:tc>
          <w:tcPr>
            <w:tcW w:type="dxa" w:w="300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Дія класного керівника</w:t>
            </w:r>
          </w:p>
        </w:tc>
        <w:tc>
          <w:tcPr>
            <w:tcW w:type="dxa" w:w="2835"/>
            <w:shd w:fill="12355B"/>
            <w:tcMar>
              <w:top w:w="85" w:type="dxa"/>
              <w:start w:w="110" w:type="dxa"/>
              <w:bottom w:w="85" w:type="dxa"/>
              <w:end w:w="110" w:type="dxa"/>
            </w:tcMar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  <w:insideH w:val="single" w:sz="6" w:space="0" w:color="FFFFFF"/>
              <w:insideV w:val="single" w:sz="6" w:space="0" w:color="FFFFFF"/>
            </w:tcBorders>
            <w:vAlign w:val="center"/>
          </w:tcPr>
          <w:p>
            <w:pPr>
              <w:spacing w:after="0"/>
              <w:jc w:val="left"/>
            </w:pPr>
            <w:r>
              <w:rPr>
                <w:b/>
                <w:color w:val="FFFFFF"/>
                <w:sz w:val="15"/>
              </w:rPr>
              <w:t>Наступний крок</w:t>
            </w:r>
          </w:p>
        </w:tc>
      </w:tr>
      <w:tr>
        <w:trPr>
          <w:cantSplit/>
        </w:trPr>
        <w:tc>
          <w:tcPr>
            <w:tcW w:type="dxa" w:w="1928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За результатами стартового опитування</w:t>
            </w:r>
          </w:p>
        </w:tc>
        <w:tc>
          <w:tcPr>
            <w:tcW w:type="dxa" w:w="255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Учень повідомляє про труднощі адаптації</w:t>
            </w:r>
          </w:p>
        </w:tc>
        <w:tc>
          <w:tcPr>
            <w:tcW w:type="dxa" w:w="300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Приватна коротка розмова без тиску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За згодою - залучити психолога / узгодити підтримку</w:t>
            </w:r>
          </w:p>
        </w:tc>
      </w:tr>
      <w:tr>
        <w:trPr>
          <w:cantSplit/>
        </w:trPr>
        <w:tc>
          <w:tcPr>
            <w:tcW w:type="dxa" w:w="1928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Після повторюваних запізнень</w:t>
            </w:r>
          </w:p>
        </w:tc>
        <w:tc>
          <w:tcPr>
            <w:tcW w:type="dxa" w:w="255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Зміна поведінки</w:t>
            </w:r>
          </w:p>
        </w:tc>
        <w:tc>
          <w:tcPr>
            <w:tcW w:type="dxa" w:w="300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З’ясувати причину, не починати з покарання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Спільний реалістичний план на два тижні</w:t>
            </w:r>
          </w:p>
        </w:tc>
      </w:tr>
      <w:tr>
        <w:trPr>
          <w:cantSplit/>
        </w:trPr>
        <w:tc>
          <w:tcPr>
            <w:tcW w:type="dxa" w:w="1928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За ознак конфлікту</w:t>
            </w:r>
          </w:p>
        </w:tc>
        <w:tc>
          <w:tcPr>
            <w:tcW w:type="dxa" w:w="2551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Напруження між учнями</w:t>
            </w:r>
          </w:p>
        </w:tc>
        <w:tc>
          <w:tcPr>
            <w:tcW w:type="dxa" w:w="300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Окремо вислухати сторони, зафіксувати потреби</w:t>
            </w:r>
          </w:p>
        </w:tc>
        <w:tc>
          <w:tcPr>
            <w:tcW w:type="dxa" w:w="2835"/>
            <w:shd w:fill="FFFFFF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Відновна розмова, якщо це безпечно й доречно</w:t>
            </w:r>
          </w:p>
        </w:tc>
      </w:tr>
      <w:tr>
        <w:trPr>
          <w:cantSplit/>
        </w:trPr>
        <w:tc>
          <w:tcPr>
            <w:tcW w:type="dxa" w:w="1928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За запитом учня</w:t>
            </w:r>
          </w:p>
        </w:tc>
        <w:tc>
          <w:tcPr>
            <w:tcW w:type="dxa" w:w="2551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Питання навчання, спілкування або майбутнього</w:t>
            </w:r>
          </w:p>
        </w:tc>
        <w:tc>
          <w:tcPr>
            <w:tcW w:type="dxa" w:w="300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Допомогти сформулювати проблему й варіанти</w:t>
            </w:r>
          </w:p>
        </w:tc>
        <w:tc>
          <w:tcPr>
            <w:tcW w:type="dxa" w:w="2835"/>
            <w:shd w:fill="F5F8FC"/>
            <w:tcMar>
              <w:top w:w="75" w:type="dxa"/>
              <w:start w:w="110" w:type="dxa"/>
              <w:bottom w:w="75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top"/>
          </w:tcPr>
          <w:p>
            <w:pPr>
              <w:spacing w:after="0" w:line="240" w:lineRule="auto"/>
            </w:pPr>
            <w:r>
              <w:rPr>
                <w:sz w:val="15"/>
              </w:rPr>
              <w:t>Один конкретний крок і дата перевірки</w:t>
            </w:r>
          </w:p>
        </w:tc>
      </w:tr>
    </w:tbl>
    <w:p>
      <w:pPr>
        <w:spacing w:after="0"/>
      </w:pPr>
    </w:p>
    <w:p>
      <w:pPr>
        <w:pStyle w:val="Smallnote"/>
      </w:pPr>
      <w:r>
        <w:t>Важливо: класний керівник не проводить психологічну діагностику замість фахівця і не фіксує в загальному плані чутливі подробиці.</w:t>
      </w:r>
    </w:p>
    <w:p>
      <w:r>
        <w:br w:type="page"/>
      </w:r>
    </w:p>
    <w:p>
      <w:pPr>
        <w:pStyle w:val="Heading1"/>
      </w:pPr>
      <w:r>
        <w:t>Підсумок семестру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Що вдалося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Приклад: учні самі модерують частину зустрічей; правила класу стали конкретнішими.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Що показало опитування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Приклад: безпечно звертатися по допомогу, але не всім комфортно говорити в загальному колі.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Що змінюємо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Приклад: більше анонімного зворотного зв’язку та роботи в малих групах.</w:t>
            </w:r>
          </w:p>
        </w:tc>
      </w:tr>
      <w:tr>
        <w:tc>
          <w:tcPr>
            <w:tcW w:type="dxa" w:w="266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  <w:shd w:fill="EAF4FF"/>
          </w:tcPr>
          <w:p>
            <w:pPr>
              <w:spacing w:after="0"/>
            </w:pPr>
            <w:r>
              <w:rPr>
                <w:b/>
                <w:sz w:val="17"/>
              </w:rPr>
              <w:t>Наступний крок</w:t>
            </w:r>
          </w:p>
        </w:tc>
        <w:tc>
          <w:tcPr>
            <w:tcW w:type="dxa" w:w="725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space="0" w:color="C9D4E2"/>
              <w:left w:val="single" w:sz="6" w:space="0" w:color="C9D4E2"/>
              <w:bottom w:val="single" w:sz="6" w:space="0" w:color="C9D4E2"/>
              <w:right w:val="single" w:sz="6" w:space="0" w:color="C9D4E2"/>
              <w:insideH w:val="single" w:sz="6" w:space="0" w:color="C9D4E2"/>
              <w:insideV w:val="single" w:sz="6" w:space="0" w:color="C9D4E2"/>
            </w:tcBorders>
            <w:vAlign w:val="center"/>
          </w:tcPr>
          <w:p>
            <w:pPr>
              <w:spacing w:after="0"/>
            </w:pPr>
            <w:r>
              <w:t>Приклад: щомісячна 10-хвилинна рада класу з одним рішенням і відповідальними.</w:t>
            </w:r>
          </w:p>
        </w:tc>
      </w:tr>
    </w:tbl>
    <w:p>
      <w:pPr>
        <w:spacing w:after="0"/>
      </w:pPr>
    </w:p>
    <w:p>
      <w:pPr>
        <w:pStyle w:val="Heading1"/>
      </w:pPr>
      <w:r>
        <w:t>Нормативна та методична опора</w:t>
      </w:r>
    </w:p>
    <w:p>
      <w:pPr>
        <w:pStyle w:val="Smallnote"/>
        <w:ind w:left="227" w:hanging="142"/>
      </w:pPr>
      <w:r>
        <w:t xml:space="preserve">• </w:t>
      </w:r>
      <w:hyperlink r:id="rId11">
        <w:r>
          <w:rPr>
            <w:color w:val="1769E0"/>
            <w:u w:val="single"/>
          </w:rPr>
          <w:t>Лист МОН від 14.08.2008 № 1/9-520 щодо планування роботи класного керівника</w:t>
        </w:r>
      </w:hyperlink>
    </w:p>
    <w:p>
      <w:pPr>
        <w:pStyle w:val="Smallnote"/>
        <w:ind w:left="227" w:hanging="142"/>
      </w:pPr>
      <w:r>
        <w:t xml:space="preserve">• </w:t>
      </w:r>
      <w:hyperlink r:id="rId12">
        <w:r>
          <w:rPr>
            <w:color w:val="1769E0"/>
            <w:u w:val="single"/>
          </w:rPr>
          <w:t>Лист МОН від 19.11.2024 № 1/21639-24 про організацію виховного процесу</w:t>
        </w:r>
      </w:hyperlink>
    </w:p>
    <w:p>
      <w:pPr>
        <w:pStyle w:val="Smallnote"/>
        <w:ind w:left="227" w:hanging="142"/>
      </w:pPr>
      <w:r>
        <w:t xml:space="preserve">• </w:t>
      </w:r>
      <w:hyperlink r:id="rId13">
        <w:r>
          <w:rPr>
            <w:color w:val="1769E0"/>
            <w:u w:val="single"/>
          </w:rPr>
          <w:t>Організація 2026/2027 навчального року</w:t>
        </w:r>
      </w:hyperlink>
    </w:p>
    <w:p>
      <w:pPr>
        <w:pStyle w:val="Smallnote"/>
        <w:ind w:left="227" w:hanging="142"/>
      </w:pPr>
      <w:r>
        <w:t xml:space="preserve">• </w:t>
      </w:r>
      <w:hyperlink r:id="rId14">
        <w:r>
          <w:rPr>
            <w:color w:val="1769E0"/>
            <w:u w:val="single"/>
          </w:rPr>
          <w:t>Концепція професійної орієнтації та кар’єрного консультування на 2025-2030 роки</w:t>
        </w:r>
      </w:hyperlink>
    </w:p>
    <w:p>
      <w:pPr>
        <w:pStyle w:val="Smallnote"/>
        <w:ind w:left="227" w:hanging="142"/>
      </w:pPr>
      <w:r>
        <w:t xml:space="preserve">• </w:t>
      </w:r>
      <w:hyperlink r:id="rId15">
        <w:r>
          <w:rPr>
            <w:color w:val="1769E0"/>
            <w:u w:val="single"/>
          </w:rPr>
          <w:t>Концепція національно-патріотичного виховання в системі освіти України</w:t>
        </w:r>
      </w:hyperlink>
    </w:p>
    <w:p>
      <w:pPr>
        <w:pStyle w:val="Smallnote"/>
        <w:ind w:left="227" w:hanging="142"/>
      </w:pPr>
      <w:r>
        <w:t xml:space="preserve">• </w:t>
      </w:r>
      <w:hyperlink r:id="rId16">
        <w:r>
          <w:rPr>
            <w:color w:val="1769E0"/>
            <w:u w:val="single"/>
          </w:rPr>
          <w:t>Рекомендації щодо безпечного освітнього середовища та протидії булінгу</w:t>
        </w:r>
      </w:hyperlink>
    </w:p>
    <w:p>
      <w:pPr>
        <w:pStyle w:val="Smallnote"/>
      </w:pPr>
      <w:r>
        <w:t>Примітка. Матеріал має орієнтовний характер. Узгодьте структуру, дати, заходи й порядок погодження з річним планом та локальними документами вашого закладу освіти.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822" w:left="879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4" w:lineRule="auto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7307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</w:pPr>
          <w:r>
            <w:rPr>
              <w:rFonts w:ascii="Arial" w:hAnsi="Arial"/>
              <w:color w:val="5B6573"/>
              <w:sz w:val="16"/>
            </w:rPr>
            <w:t>osv+  •  редагуйте під потреби класу</w:t>
          </w:r>
        </w:p>
      </w:tc>
      <w:tc>
        <w:tcPr>
          <w:tcW w:type="dxa" w:w="2841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after="0"/>
            <w:jc w:val="right"/>
          </w:pPr>
          <w:r>
            <w:rPr>
              <w:color w:val="5B6573"/>
              <w:sz w:val="16"/>
            </w:rPr>
            <w:t xml:space="preserve">Сторінка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1769E0"/>
        <w:sz w:val="18"/>
      </w:rPr>
      <w:t>ОСВІТА+</w:t>
    </w:r>
    <w:r>
      <w:rPr>
        <w:rFonts w:ascii="Arial" w:hAnsi="Arial"/>
        <w:color w:val="5B6573"/>
        <w:sz w:val="16"/>
      </w:rPr>
      <w:t xml:space="preserve">  практичні матеріали для вчителя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1182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1182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11182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 w:eastAsia="Arial"/>
      <w:color w:val="5B657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zakon.rada.gov.ua/rada/show/v_520290-08" TargetMode="External"/><Relationship Id="rId12" Type="http://schemas.openxmlformats.org/officeDocument/2006/relationships/hyperlink" Target="https://mon.gov.ua/npa/pro-metodychni-rekomendatsii-shchodo-orhanizatsii-vykhovnoho-protsesu-v-zakladakh-osvity" TargetMode="External"/><Relationship Id="rId13" Type="http://schemas.openxmlformats.org/officeDocument/2006/relationships/hyperlink" Target="https://mon.gov.ua/news/vyznacheno-tryvalist-ta-osoblyvosti-orhanizatsii-20262027-navchalnoho-roku" TargetMode="External"/><Relationship Id="rId14" Type="http://schemas.openxmlformats.org/officeDocument/2006/relationships/hyperlink" Target="https://mon.gov.ua/npa/pro-zatverdzhennia-kontseptsii-profesiinoi-oriientatsii-ta-kariernoho-konsultuvannia-u-systemi-osvity-ukrainy-na-2025-2030-roky-ta-planu-zakhodiv-z-realizatsii-kontseptsii-profesiinoi-oriient" TargetMode="External"/><Relationship Id="rId15" Type="http://schemas.openxmlformats.org/officeDocument/2006/relationships/hyperlink" Target="https://mon.gov.ua/npa/pro-deyaki-pitannya-nacionalno-patriotichnogo-vihovannya-v-zakladah-osviti-ukrayini-ta-viznannya-takim-sho-vtrativ-chinnist-nakazu-ministerstva-osviti-i-nauki-ukrayini-vid-16062015-641" TargetMode="External"/><Relationship Id="rId16" Type="http://schemas.openxmlformats.org/officeDocument/2006/relationships/hyperlink" Target="https://mon.gov.ua/npa/pro-stvorennya-bezpechnogo-osvitnogo-seredovisha-v-zakladi-osviti-ta-poperedzhennya-i-protidiyi-bulingu-ckuvanny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