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засідання педагогічної ради</w:t>
      </w:r>
    </w:p>
    <w:p>
      <w:pPr>
        <w:spacing w:after="280"/>
        <w:jc w:val="center"/>
      </w:pPr>
      <w:r>
        <w:rPr>
          <w:i/>
          <w:color w:val="595959"/>
        </w:rPr>
        <w:t>Коротка інструкція і склад комплекту 2026</w:t>
      </w:r>
    </w:p>
    <w:p>
      <w:r>
        <w:t>Комплект допомагає швидко оформити протокол педагогічної ради закладу загальної середньої освіти. У ньому є універсальний шаблон, заповнені зразки для найпоширеніших ситуацій, витяг із протоколу та форма контролю виконання рішень.</w:t>
      </w:r>
    </w:p>
    <w:p>
      <w:pPr>
        <w:pStyle w:val="Heading1"/>
        <w:keepNext/>
      </w:pPr>
      <w:r>
        <w:t>Що найчастіше потрібно на практиці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360"/>
        <w:gridCol w:w="3360"/>
        <w:gridCol w:w="3360"/>
      </w:tblGrid>
      <w:tr>
        <w:trPr>
          <w:tblHeader w:val="true"/>
        </w:trPr>
        <w:tc>
          <w:tcPr>
            <w:tcW w:type="dxa" w:w="2232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Матеріал</w:t>
            </w:r>
          </w:p>
        </w:tc>
        <w:tc>
          <w:tcPr>
            <w:tcW w:type="dxa" w:w="3312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Коли використовувати</w:t>
            </w:r>
          </w:p>
        </w:tc>
        <w:tc>
          <w:tcPr>
            <w:tcW w:type="dxa" w:w="3672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Чому потрібен</w:t>
            </w:r>
          </w:p>
        </w:tc>
      </w:tr>
      <w:tr>
        <w:tc>
          <w:tcPr>
            <w:tcW w:type="dxa" w:w="223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Універсальний бланк</w:t>
            </w:r>
          </w:p>
        </w:tc>
        <w:tc>
          <w:tcPr>
            <w:tcW w:type="dxa" w:w="331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Для будь-якого чергового або позачергового засідання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Дає правильну структуру без прив’язки до теми</w:t>
            </w:r>
          </w:p>
        </w:tc>
      </w:tr>
      <w:tr>
        <w:tc>
          <w:tcPr>
            <w:tcW w:type="dxa" w:w="223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Серпнева педрада</w:t>
            </w:r>
          </w:p>
        </w:tc>
        <w:tc>
          <w:tcPr>
            <w:tcW w:type="dxa" w:w="331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На початку 2026/2027 навчального року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Охоплює річний план, освітню програму, безпеку та підвищення кваліфікації</w:t>
            </w:r>
          </w:p>
        </w:tc>
      </w:tr>
      <w:tr>
        <w:tc>
          <w:tcPr>
            <w:tcW w:type="dxa" w:w="223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Підсумки І семестру</w:t>
            </w:r>
          </w:p>
        </w:tc>
        <w:tc>
          <w:tcPr>
            <w:tcW w:type="dxa" w:w="331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У грудні 2026 року або січні 2027 року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Містить рішення щодо результатів навчання, освітніх втрат і роботи в ІІ семестрі</w:t>
            </w:r>
          </w:p>
        </w:tc>
      </w:tr>
      <w:tr>
        <w:tc>
          <w:tcPr>
            <w:tcW w:type="dxa" w:w="223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Визнання підвищення кваліфікації</w:t>
            </w:r>
          </w:p>
        </w:tc>
        <w:tc>
          <w:tcPr>
            <w:tcW w:type="dxa" w:w="331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Коли результати потребують окремого рішення педради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Враховує зміни до Порядку № 800, що застосовуються у 2026 році</w:t>
            </w:r>
          </w:p>
        </w:tc>
      </w:tr>
      <w:tr>
        <w:tc>
          <w:tcPr>
            <w:tcW w:type="dxa" w:w="223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Переведення учнів</w:t>
            </w:r>
          </w:p>
        </w:tc>
        <w:tc>
          <w:tcPr>
            <w:tcW w:type="dxa" w:w="331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Наприкінці навчального року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Дозволяє оформити рішення списками-додатками без персональних даних у відкритому шаблоні</w:t>
            </w:r>
          </w:p>
        </w:tc>
      </w:tr>
      <w:tr>
        <w:tc>
          <w:tcPr>
            <w:tcW w:type="dxa" w:w="223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Витяг із протоколу</w:t>
            </w:r>
          </w:p>
        </w:tc>
        <w:tc>
          <w:tcPr>
            <w:tcW w:type="dxa" w:w="331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Коли потрібне підтвердження лише одного рішення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Не потрібно копіювати весь протокол</w:t>
            </w:r>
          </w:p>
        </w:tc>
      </w:tr>
      <w:tr>
        <w:tc>
          <w:tcPr>
            <w:tcW w:type="dxa" w:w="223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9"/>
              </w:rPr>
              <w:t>Картка контролю</w:t>
            </w:r>
          </w:p>
        </w:tc>
        <w:tc>
          <w:tcPr>
            <w:tcW w:type="dxa" w:w="331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Після введення рішень у дію наказом керівника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9"/>
              </w:rPr>
              <w:t>Фіксує відповідальних, строки та результат виконання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П’ять правил актуального протоколу</w:t>
      </w:r>
    </w:p>
    <w:p>
      <w:pPr>
        <w:pStyle w:val="ListNumber"/>
      </w:pPr>
      <w:r>
        <w:t>Засідання правомочне, якщо присутні не менше двох третин складу педагогічної ради.</w:t>
      </w:r>
    </w:p>
    <w:p>
      <w:pPr>
        <w:pStyle w:val="ListNumber"/>
      </w:pPr>
      <w:r>
        <w:t>Рішення приймають більшістю голосів від усього складу педагогічної ради: потрібно понад половину голосів складу, наприклад щонайменше 13 голосів для складу з 24 осіб.</w:t>
      </w:r>
    </w:p>
    <w:p>
      <w:pPr>
        <w:pStyle w:val="ListNumber"/>
      </w:pPr>
      <w:r>
        <w:t>Якщо присутніх понад 15 осіб, у протоколі вказують їх загальну кількість і додають окремий список.</w:t>
      </w:r>
    </w:p>
    <w:p>
      <w:pPr>
        <w:pStyle w:val="ListNumber"/>
      </w:pPr>
      <w:r>
        <w:t>Кожне питання оформлюють за схемою «СЛУХАЛИ — ВИСТУПИЛИ — УХВАЛИЛИ». Рішення має відповідати на питання: кому, що зробити і в який строк.</w:t>
      </w:r>
    </w:p>
    <w:p>
      <w:pPr>
        <w:pStyle w:val="ListNumber"/>
      </w:pPr>
      <w:r>
        <w:t>Протокол підписують голова і секретар. Рішення, прийняті в межах повноважень педради, вводяться в дію наказом керівника закладу освіти.</w:t>
      </w:r>
    </w:p>
    <w:p>
      <w:pPr>
        <w:pStyle w:val="Heading1"/>
        <w:keepNext/>
      </w:pPr>
      <w:r>
        <w:t>Яке дієслово ставити в рішенні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5040"/>
        <w:gridCol w:w="5040"/>
      </w:tblGrid>
      <w:tr>
        <w:trPr>
          <w:tblHeader w:val="true"/>
        </w:trPr>
        <w:tc>
          <w:tcPr>
            <w:tcW w:type="dxa" w:w="5040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Питання</w:t>
            </w:r>
          </w:p>
        </w:tc>
        <w:tc>
          <w:tcPr>
            <w:tcW w:type="dxa" w:w="4176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0"/>
              </w:rPr>
              <w:t>Коректне формулювання</w:t>
            </w:r>
          </w:p>
        </w:tc>
      </w:tr>
      <w:tr>
        <w:tc>
          <w:tcPr>
            <w:tcW w:type="dxa" w:w="504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Стратегія розвитку, річний план роботи</w:t>
            </w:r>
          </w:p>
        </w:tc>
        <w:tc>
          <w:tcPr>
            <w:tcW w:type="dxa" w:w="41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СХВАЛИТИ</w:t>
            </w:r>
          </w:p>
        </w:tc>
      </w:tr>
      <w:tr>
        <w:tc>
          <w:tcPr>
            <w:tcW w:type="dxa" w:w="504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Освітня програма та зміни до неї</w:t>
            </w:r>
          </w:p>
        </w:tc>
        <w:tc>
          <w:tcPr>
            <w:tcW w:type="dxa" w:w="41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СХВАЛИТИ</w:t>
            </w:r>
          </w:p>
        </w:tc>
      </w:tr>
      <w:tr>
        <w:tc>
          <w:tcPr>
            <w:tcW w:type="dxa" w:w="504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Правила внутрішнього розпорядку, положення про внутрішню систему якості</w:t>
            </w:r>
          </w:p>
        </w:tc>
        <w:tc>
          <w:tcPr>
            <w:tcW w:type="dxa" w:w="41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СХВАЛИТИ</w:t>
            </w:r>
          </w:p>
        </w:tc>
      </w:tr>
      <w:tr>
        <w:tc>
          <w:tcPr>
            <w:tcW w:type="dxa" w:w="504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Річний план підвищення кваліфікації</w:t>
            </w:r>
          </w:p>
        </w:tc>
        <w:tc>
          <w:tcPr>
            <w:tcW w:type="dxa" w:w="41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ЗАТВЕРДИТИ</w:t>
            </w:r>
          </w:p>
        </w:tc>
      </w:tr>
      <w:tr>
        <w:tc>
          <w:tcPr>
            <w:tcW w:type="dxa" w:w="5040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Переведення учнів, заохочення, інші рішення в межах повноважень</w:t>
            </w:r>
          </w:p>
        </w:tc>
        <w:tc>
          <w:tcPr>
            <w:tcW w:type="dxa" w:w="41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ПРИЙНЯТИ РІШЕННЯ / ПЕРЕВЕСТИ / ВІДЗНАЧИТИ</w:t>
            </w:r>
          </w:p>
        </w:tc>
      </w:tr>
      <w:tr>
        <w:tc>
          <w:tcPr>
            <w:tcW w:type="dxa" w:w="5040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Результати підвищення кваліфікації, що потребують розгляду</w:t>
            </w:r>
          </w:p>
        </w:tc>
        <w:tc>
          <w:tcPr>
            <w:tcW w:type="dxa" w:w="41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20"/>
              </w:rPr>
              <w:t>ВИЗНАТИ або НЕ ВИЗНАТИ</w:t>
            </w:r>
          </w:p>
        </w:tc>
      </w:tr>
    </w:tbl>
    <w:p>
      <w:pPr>
        <w:spacing w:after="0"/>
      </w:pPr>
    </w:p>
    <w:p>
      <w:pPr>
        <w:pStyle w:val="Heading1"/>
        <w:keepNext/>
      </w:pPr>
      <w:r>
        <w:t>Швидка перевірка перед підписанням</w:t>
      </w:r>
    </w:p>
    <w:p>
      <w:pPr>
        <w:pStyle w:val="ListBullet"/>
      </w:pPr>
      <w:r>
        <w:t>Дата протоколу збігається з датою засідання, номер відповідає нумерації закладу.</w:t>
      </w:r>
    </w:p>
    <w:p>
      <w:pPr>
        <w:pStyle w:val="ListBullet"/>
      </w:pPr>
      <w:r>
        <w:t>Зазначено повний склад педради, кількість присутніх і наявність кворуму.</w:t>
      </w:r>
    </w:p>
    <w:p>
      <w:pPr>
        <w:pStyle w:val="ListBullet"/>
      </w:pPr>
      <w:r>
        <w:t>Порядок денний і нумерація питань збігаються з основною частиною.</w:t>
      </w:r>
    </w:p>
    <w:p>
      <w:pPr>
        <w:pStyle w:val="ListBullet"/>
      </w:pPr>
      <w:r>
        <w:t>Для кожного рішення записано результати голосування та зроблено висновок, чи прийнято рішення.</w:t>
      </w:r>
    </w:p>
    <w:p>
      <w:pPr>
        <w:pStyle w:val="ListBullet"/>
      </w:pPr>
      <w:r>
        <w:t>У пунктах рішень є конкретні виконавці та строки, а додатки названі й пронумеровані.</w:t>
      </w:r>
    </w:p>
    <w:p>
      <w:pPr>
        <w:pStyle w:val="ListBullet"/>
      </w:pPr>
      <w:r>
        <w:t>Підписи голови та секретаря проставлено після остаточного погодження тексту.</w:t>
      </w:r>
    </w:p>
    <w:p>
      <w:pPr>
        <w:pStyle w:val="Heading1"/>
        <w:keepNext/>
      </w:pPr>
      <w:r>
        <w:t>Нормативна основа</w:t>
      </w:r>
    </w:p>
    <w:p>
      <w:pPr>
        <w:pStyle w:val="ListBullet"/>
      </w:pPr>
      <w:r>
        <w:t>Закон України «Про повну загальну середню освіту» від 16.01.2020 № 463-IX, стаття 40: https://zakon.rada.gov.ua/go/463-20</w:t>
      </w:r>
    </w:p>
    <w:p>
      <w:pPr>
        <w:pStyle w:val="ListBullet"/>
      </w:pPr>
      <w:r>
        <w:t>Інструкція з діловодства у закладах загальної середньої освіти, наказ МОН від 25.06.2018 № 676: https://zakon.rada.gov.ua/go/z1028-18</w:t>
      </w:r>
    </w:p>
    <w:p>
      <w:pPr>
        <w:pStyle w:val="ListBullet"/>
      </w:pPr>
      <w:r>
        <w:t>Порядок переведення учнів закладу загальної середньої освіти на наступний рік навчання, наказ МОН від 14.07.2015 № 762 у чинній редакції: https://zakon.rada.gov.ua/go/z0924-15</w:t>
      </w:r>
    </w:p>
    <w:p>
      <w:pPr>
        <w:pStyle w:val="ListBullet"/>
      </w:pPr>
      <w:r>
        <w:t>Порядок підвищення кваліфікації педагогічних і науково-педагогічних працівників, постанова КМУ від 21.08.2019 № 800 у чинній редакції: https://zakon.rada.gov.ua/go/800-2019-п</w:t>
      </w:r>
    </w:p>
    <w:p>
      <w:r>
        <w:rPr>
          <w:b/>
        </w:rPr>
        <w:t xml:space="preserve">Важливо: </w:t>
      </w:r>
      <w:r>
        <w:t>перед використанням конкретного рішення звірте його зі статутом закладу, власною інструкцією з діловодства та чинною редакцією спеціального нормативного акта.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