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DejaVu Sans" w:hAnsi="DejaVu Sans" w:eastAsia="DejaVu Sans"/>
          <w:b/>
          <w:color w:val="D5A021"/>
          <w:sz w:val="16"/>
        </w:rPr>
        <w:t>ПРАКТИЧНИЙ МАТЕРІАЛ ДЛЯ ВЧИТЕЛЯ</w:t>
      </w:r>
    </w:p>
    <w:p>
      <w:pPr>
        <w:pStyle w:val="Title"/>
      </w:pPr>
      <w:r>
        <w:t>Пам’ятки про оцінювання</w:t>
      </w:r>
    </w:p>
    <w:p>
      <w:pPr>
        <w:spacing w:after="200"/>
      </w:pPr>
      <w:r>
        <w:rPr>
          <w:rFonts w:ascii="DejaVu Sans" w:hAnsi="DejaVu Sans" w:eastAsia="DejaVu Sans"/>
          <w:color w:val="5E6D78"/>
          <w:sz w:val="22"/>
        </w:rPr>
        <w:t>Три односторінкові матеріали: учням, батькам і вчителю</w:t>
      </w: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E8F4F2"/>
          <w:left w:val="single" w:sz="0" w:color="E8F4F2"/>
          <w:bottom w:val="single" w:sz="0" w:color="E8F4F2"/>
          <w:right w:val="single" w:sz="0" w:color="E8F4F2"/>
          <w:insideH w:val="single" w:sz="0" w:color="E8F4F2"/>
          <w:insideV w:val="single" w:sz="0" w:color="E8F4F2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E8F4F2"/>
            <w:tcBorders>
              <w:left w:val="single" w:sz="30" w:color="148F8B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Для кого: шкільна спільнота</w:t>
            </w:r>
            <w:r>
              <w:br/>
            </w:r>
            <w:r>
              <w:rPr>
                <w:rFonts w:ascii="DejaVu Sans" w:hAnsi="DejaVu Sans" w:eastAsia="DejaVu Sans"/>
                <w:color w:val="24323D"/>
                <w:sz w:val="17"/>
              </w:rPr>
              <w:t>Версія: 2026/2027. Усі критерії можна редагувати й адаптувати до предмета, очікуваних результатів та освітніх потреб учнів.</w:t>
            </w:r>
          </w:p>
        </w:tc>
      </w:tr>
    </w:tbl>
    <w:p>
      <w:pPr>
        <w:spacing w:after="0"/>
      </w:pPr>
    </w:p>
    <w:p>
      <w:pPr>
        <w:pStyle w:val="Heading1"/>
      </w:pPr>
      <w:r>
        <w:t>Учням: як працює оцінювання</w:t>
      </w:r>
    </w:p>
    <w:p>
      <w:pPr>
        <w:pStyle w:val="ListNumber"/>
      </w:pPr>
      <w:r>
        <w:t xml:space="preserve"> До роботи з’ясуй, який результат очікується і за якими критеріями його перевірятимуть.</w:t>
      </w:r>
    </w:p>
    <w:p>
      <w:pPr>
        <w:pStyle w:val="ListNumber"/>
      </w:pPr>
      <w:r>
        <w:t xml:space="preserve"> Під час роботи користуйся критеріями як планом, а не лише як перевіркою наприкінці.</w:t>
      </w:r>
    </w:p>
    <w:p>
      <w:pPr>
        <w:pStyle w:val="ListNumber"/>
      </w:pPr>
      <w:r>
        <w:t xml:space="preserve"> Покажи докази: хід міркування, дані, джерела, чернетку, пояснення або готовий продукт.</w:t>
      </w:r>
    </w:p>
    <w:p>
      <w:pPr>
        <w:pStyle w:val="ListNumber"/>
      </w:pPr>
      <w:r>
        <w:t xml:space="preserve"> Сприймай зворотний зв’язок як підказку для наступної спроби.</w:t>
      </w:r>
    </w:p>
    <w:p>
      <w:pPr>
        <w:pStyle w:val="ListNumber"/>
      </w:pPr>
      <w:r>
        <w:t xml:space="preserve"> Якщо оцінка незрозуміла, попроси показати, який критерій і який доказ її визначили.</w:t>
      </w: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FFF6DF"/>
          <w:left w:val="single" w:sz="0" w:color="FFF6DF"/>
          <w:bottom w:val="single" w:sz="0" w:color="FFF6DF"/>
          <w:right w:val="single" w:sz="0" w:color="FFF6DF"/>
          <w:insideH w:val="single" w:sz="0" w:color="FFF6DF"/>
          <w:insideV w:val="single" w:sz="0" w:color="FFF6DF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FFF6DF"/>
            <w:tcBorders>
              <w:left w:val="single" w:sz="30" w:color="D5A021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Оцінка описує результат конкретної роботи. Вона не визначає твою цінність і не порівнює тебе з іншими.</w:t>
            </w:r>
          </w:p>
        </w:tc>
      </w:tr>
    </w:tbl>
    <w:p>
      <w:pPr>
        <w:spacing w:after="0"/>
      </w:pPr>
    </w:p>
    <w:p>
      <w:pPr>
        <w:pStyle w:val="Heading2"/>
      </w:pPr>
      <w:r>
        <w:t>Коротко про шкали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color="C9D6DC"/>
          <w:left w:val="single" w:sz="6" w:color="C9D6DC"/>
          <w:bottom w:val="single" w:sz="6" w:color="C9D6DC"/>
          <w:right w:val="single" w:sz="6" w:color="C9D6DC"/>
          <w:insideH w:val="single" w:sz="6" w:color="C9D6DC"/>
          <w:insideV w:val="single" w:sz="6" w:color="C9D6DC"/>
        </w:tblBorders>
      </w:tblPr>
      <w:tblGrid>
        <w:gridCol w:w="5074"/>
        <w:gridCol w:w="5074"/>
      </w:tblGrid>
      <w:tr>
        <w:trPr>
          <w:tblHeader w:val="true"/>
          <w:cantSplit/>
        </w:trPr>
        <w:tc>
          <w:tcPr>
            <w:tcW w:type="dxa" w:w="1700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Класи</w:t>
            </w:r>
          </w:p>
        </w:tc>
        <w:tc>
          <w:tcPr>
            <w:tcW w:type="dxa" w:w="8560"/>
            <w:shd w:fill="148F8B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Основний принцип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1–2</w:t>
            </w:r>
          </w:p>
        </w:tc>
        <w:tc>
          <w:tcPr>
            <w:tcW w:type="dxa" w:w="85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Поточне й підсумкове оцінювання — словесне.</w:t>
            </w:r>
          </w:p>
        </w:tc>
      </w:tr>
      <w:tr>
        <w:trPr>
          <w:cantSplit/>
        </w:trPr>
        <w:tc>
          <w:tcPr>
            <w:tcW w:type="dxa" w:w="170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3–4</w:t>
            </w:r>
          </w:p>
        </w:tc>
        <w:tc>
          <w:tcPr>
            <w:tcW w:type="dxa" w:w="8560"/>
            <w:shd w:fill="F4F7F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Поточне — словесне або рівневе; підсумкове — рівневе.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b/>
                <w:color w:val="24323D"/>
                <w:sz w:val="16"/>
              </w:rPr>
              <w:t>5–9</w:t>
            </w:r>
          </w:p>
        </w:tc>
        <w:tc>
          <w:tcPr>
            <w:tcW w:type="dxa" w:w="85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6"/>
              </w:rPr>
              <w:t>Поточне й підсумкове — 12-бальне; формувальний зворотний зв’язок не визначає підсумок автоматично.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DejaVu Sans" w:hAnsi="DejaVu Sans" w:eastAsia="DejaVu Sans"/>
          <w:b/>
          <w:color w:val="D5A021"/>
          <w:sz w:val="16"/>
        </w:rPr>
        <w:t>ПАМ’ЯТКА ДЛЯ БАТЬКІВ</w:t>
      </w:r>
    </w:p>
    <w:p>
      <w:pPr>
        <w:pStyle w:val="Heading1"/>
      </w:pPr>
      <w:r>
        <w:t>Як читати оцінювання дитини</w:t>
      </w:r>
    </w:p>
    <w:p>
      <w:pPr>
        <w:pStyle w:val="ListBullet"/>
      </w:pPr>
      <w:r>
        <w:t>Питайте не лише «яка оцінка?», а «що вже виходить і який наступний крок?». Це переводить увагу з контролю на навчання.</w:t>
      </w:r>
    </w:p>
    <w:p>
      <w:pPr>
        <w:pStyle w:val="ListBullet"/>
      </w:pPr>
      <w:r>
        <w:t>Просіть показати критерії та конкретний доказ у роботі, якщо результат незрозумілий.</w:t>
      </w:r>
    </w:p>
    <w:p>
      <w:pPr>
        <w:pStyle w:val="ListBullet"/>
      </w:pPr>
      <w:r>
        <w:t>Рівень підтримки — не ярлик: дитина може потребувати різної допомоги в різних завданнях.</w:t>
      </w:r>
    </w:p>
    <w:p>
      <w:pPr>
        <w:pStyle w:val="ListBullet"/>
      </w:pPr>
      <w:r>
        <w:t>Одна робота не дає повної картини. Важливі повторні й різні докази результату.</w:t>
      </w:r>
    </w:p>
    <w:p>
      <w:pPr>
        <w:pStyle w:val="ListBullet"/>
      </w:pPr>
      <w:r>
        <w:t>Допомога вдома корисна, коли дитина залишається автором роботи: доречні запитання, планування й самоперевірка, а не виконання замість неї.</w:t>
      </w:r>
    </w:p>
    <w:p>
      <w:pPr>
        <w:pStyle w:val="ListBullet"/>
      </w:pPr>
      <w:r>
        <w:t>Для учня з особливими освітніми потребами критерії та способи демонстрації результату можуть адаптувати або модифікувати відповідно до ІПР.</w:t>
      </w: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FFF6DF"/>
          <w:left w:val="single" w:sz="0" w:color="FFF6DF"/>
          <w:bottom w:val="single" w:sz="0" w:color="FFF6DF"/>
          <w:right w:val="single" w:sz="0" w:color="FFF6DF"/>
          <w:insideH w:val="single" w:sz="0" w:color="FFF6DF"/>
          <w:insideV w:val="single" w:sz="0" w:color="FFF6DF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FFF6DF"/>
            <w:tcBorders>
              <w:left w:val="single" w:sz="30" w:color="D5A021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Корисні запитання дитині: «Чим ти задоволений(а)?», «Який доказ це показує?», «Що спробуєш наступного разу?», «Яка допомога справді потрібна?»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  <w:r>
        <w:rPr>
          <w:rFonts w:ascii="DejaVu Sans" w:hAnsi="DejaVu Sans" w:eastAsia="DejaVu Sans"/>
          <w:b/>
          <w:color w:val="D5A021"/>
          <w:sz w:val="16"/>
        </w:rPr>
        <w:t>ПАМ’ЯТКА ДЛЯ ВЧИТЕЛЯ</w:t>
      </w:r>
    </w:p>
    <w:p>
      <w:pPr>
        <w:pStyle w:val="Heading1"/>
      </w:pPr>
      <w:r>
        <w:t>Наказ №722: перевірка перед стартом</w:t>
      </w:r>
    </w:p>
    <w:p>
      <w:pPr>
        <w:spacing w:after="100"/>
      </w:pPr>
      <w:r>
        <w:t>☐ У 2026/2027 новий порядок застосовано у 1–9 класах.</w:t>
      </w:r>
    </w:p>
    <w:p>
      <w:pPr>
        <w:spacing w:after="100"/>
      </w:pPr>
      <w:r>
        <w:t>☐ Для 1–2 класів поточне й підсумкове оцінювання словесне.</w:t>
      </w:r>
    </w:p>
    <w:p>
      <w:pPr>
        <w:spacing w:after="100"/>
      </w:pPr>
      <w:r>
        <w:t>☐ Для 3–4 класів формувальне оцінювання словесне; поточне — словесне або рівневе; підсумкове — рівневе.</w:t>
      </w:r>
    </w:p>
    <w:p>
      <w:pPr>
        <w:spacing w:after="100"/>
      </w:pPr>
      <w:r>
        <w:t>☐ Для 5–9 класів поточне й підсумкове оцінювання 12-бальне; формувальний результат не враховують під час підсумкового оцінювання.</w:t>
      </w:r>
    </w:p>
    <w:p>
      <w:pPr>
        <w:spacing w:after="100"/>
      </w:pPr>
      <w:r>
        <w:t>☐ Критерії пов’язані з очікуваним результатом і відомі учням заздалегідь.</w:t>
      </w:r>
    </w:p>
    <w:p>
      <w:pPr>
        <w:spacing w:after="100"/>
      </w:pPr>
      <w:r>
        <w:t>☐ Є належні й різноманітні докази результату; оцінка не ґрунтується на одному випадковому спостереженні.</w:t>
      </w:r>
    </w:p>
    <w:p>
      <w:pPr>
        <w:spacing w:after="100"/>
      </w:pPr>
      <w:r>
        <w:t>☐ Враховано складність, пізнавальні процеси, діяльність, самостійність, комунікацію/взаємодію та частоту прояву.</w:t>
      </w:r>
    </w:p>
    <w:p>
      <w:pPr>
        <w:spacing w:after="100"/>
      </w:pPr>
      <w:r>
        <w:t>☐ Учень отримує зрозумілий наступний крок.</w:t>
      </w:r>
    </w:p>
    <w:p>
      <w:pPr>
        <w:spacing w:after="100"/>
      </w:pPr>
      <w:r>
        <w:t>☐ За потреби застосовано адаптації/модифікації відповідно до ІПР.</w:t>
      </w:r>
    </w:p>
    <w:p>
      <w:pPr>
        <w:spacing w:after="100"/>
      </w:pPr>
      <w:r>
        <w:t>☐ У 5–9 класах оцінювання за групами результатів і внесення таких оцінок до журналу не подано як обов’язкову вимогу.</w:t>
      </w:r>
    </w:p>
    <w:p>
      <w:pPr>
        <w:spacing w:after="0" w:line="120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0" w:color="E8F4F2"/>
          <w:left w:val="single" w:sz="0" w:color="E8F4F2"/>
          <w:bottom w:val="single" w:sz="0" w:color="E8F4F2"/>
          <w:right w:val="single" w:sz="0" w:color="E8F4F2"/>
          <w:insideH w:val="single" w:sz="0" w:color="E8F4F2"/>
          <w:insideV w:val="single" w:sz="0" w:color="E8F4F2"/>
        </w:tblBorders>
      </w:tblPr>
      <w:tblGrid>
        <w:gridCol w:w="10148"/>
      </w:tblGrid>
      <w:tr>
        <w:trPr>
          <w:cantSplit/>
        </w:trPr>
        <w:tc>
          <w:tcPr>
            <w:tcW w:type="dxa" w:w="10148"/>
            <w:shd w:fill="E8F4F2"/>
            <w:tcBorders>
              <w:left w:val="single" w:sz="30" w:color="148F8B"/>
            </w:tcBorders>
            <w:tcMar>
              <w:top w:w="110" w:type="dxa"/>
              <w:start w:w="180" w:type="dxa"/>
              <w:bottom w:w="11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DejaVu Sans" w:hAnsi="DejaVu Sans" w:eastAsia="DejaVu Sans"/>
                <w:color w:val="24323D"/>
                <w:sz w:val="17"/>
              </w:rPr>
              <w:t>Ці файли — практичні редаговані шаблони. Остаточні критерії вчитель/заклад освіти конкретизує для предмета, роботи та очікуваних результатів.</w:t>
            </w:r>
          </w:p>
        </w:tc>
      </w:tr>
    </w:tbl>
    <w:p>
      <w:pPr>
        <w:spacing w:after="0"/>
      </w:pPr>
    </w:p>
    <w:p>
      <w:pPr>
        <w:spacing w:before="80" w:after="80"/>
      </w:pPr>
      <w:r>
        <w:rPr>
          <w:rFonts w:ascii="DejaVu Sans" w:hAnsi="DejaVu Sans" w:eastAsia="DejaVu Sans"/>
          <w:color w:val="5E6D78"/>
          <w:sz w:val="14"/>
        </w:rPr>
        <w:t>Джерело: Порядок оцінювання результатів навчання учнів, наказ МОН №722 — https://zakon.rada.gov.ua/laws/show/z0922-26</w:t>
      </w:r>
    </w:p>
    <w:p>
      <w:pPr>
        <w:spacing w:before="80" w:after="80"/>
      </w:pPr>
      <w:r>
        <w:rPr>
          <w:rFonts w:ascii="DejaVu Sans" w:hAnsi="DejaVu Sans" w:eastAsia="DejaVu Sans"/>
          <w:color w:val="5E6D78"/>
          <w:sz w:val="14"/>
        </w:rPr>
        <w:t>Джерело: Зміни, наказ МОН №1001 — https://zakon.rada.gov.ua/laws/show/z0970-26</w:t>
      </w:r>
    </w:p>
    <w:p>
      <w:pPr>
        <w:spacing w:before="80" w:after="80"/>
      </w:pPr>
      <w:r>
        <w:rPr>
          <w:rFonts w:ascii="DejaVu Sans" w:hAnsi="DejaVu Sans" w:eastAsia="DejaVu Sans"/>
          <w:color w:val="5E6D78"/>
          <w:sz w:val="14"/>
        </w:rPr>
        <w:t>Джерело: Методичні рекомендації МОН на 2026/2027 н. р. — https://mon.gov.ua/static-objects/mon/uploads/public/6a8/32e/e44/6a832ee44da33412910017.pdf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22" w:right="879" w:bottom="765" w:left="879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ans" w:hAnsi="DejaVu Sans" w:eastAsia="DejaVu Sans"/>
        <w:color w:val="5E6D78"/>
        <w:sz w:val="15"/>
      </w:rPr>
      <w:t xml:space="preserve">Сторінка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4" w:color="D5A021"/>
      </w:pBdr>
    </w:pPr>
    <w:r>
      <w:rPr>
        <w:rFonts w:ascii="DejaVu Sans" w:hAnsi="DejaVu Sans" w:eastAsia="DejaVu Sans"/>
        <w:b/>
        <w:color w:val="148F8B"/>
        <w:sz w:val="15"/>
      </w:rPr>
      <w:t>ОСВІТЯНИК  •  КРИТЕРІЇ ОЦІНЮВАННЯ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DejaVu Sans" w:hAnsi="DejaVu Sans"/>
      <w:color w:val="2432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F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48F8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73F5F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73F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12" w:hanging="142"/>
      <w:contextualSpacing/>
    </w:pPr>
    <w:rPr>
      <w:rFonts w:ascii="DejaVu Sans" w:hAnsi="DejaVu Sans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425" w:val="left"/>
      </w:tabs>
      <w:spacing w:after="60"/>
      <w:ind w:left="425" w:hanging="283"/>
      <w:contextualSpacing/>
    </w:pPr>
    <w:rPr>
      <w:rFonts w:ascii="DejaVu Sans" w:hAnsi="DejaVu Sans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