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Рівневе оцінювання у 3–4 класах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Універсальна рубрика для поточних і підсумкових робіт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учителі 3–4 класів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Формувальне оцінювання у 3–4 класах залишається словесним; поточне може бути словесним або рівневим, а підсумкове — рівневим.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030"/>
        <w:gridCol w:w="2030"/>
        <w:gridCol w:w="2030"/>
        <w:gridCol w:w="2030"/>
        <w:gridCol w:w="2030"/>
      </w:tblGrid>
      <w:tr>
        <w:trPr>
          <w:tblHeader w:val="true"/>
          <w:cantSplit/>
        </w:trPr>
        <w:tc>
          <w:tcPr>
            <w:tcW w:type="dxa" w:w="79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Рівень</w:t>
            </w:r>
          </w:p>
        </w:tc>
        <w:tc>
          <w:tcPr>
            <w:tcW w:type="dxa" w:w="243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Назва</w:t>
            </w:r>
          </w:p>
        </w:tc>
        <w:tc>
          <w:tcPr>
            <w:tcW w:type="dxa" w:w="272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49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Самостійність</w:t>
            </w:r>
          </w:p>
        </w:tc>
        <w:tc>
          <w:tcPr>
            <w:tcW w:type="dxa" w:w="1700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Частота</w:t>
            </w:r>
          </w:p>
        </w:tc>
      </w:tr>
      <w:tr>
        <w:trPr>
          <w:cantSplit/>
        </w:trPr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</w:t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Потребує істотної підтримки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Розпізнає окремі елементи, діє за зразком.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Покрокові підказки й постійний супровід.</w:t>
            </w:r>
          </w:p>
        </w:tc>
        <w:tc>
          <w:tcPr>
            <w:tcW w:type="dxa" w:w="17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Проявляє вміння епізодично.</w:t>
            </w:r>
          </w:p>
        </w:tc>
      </w:tr>
      <w:tr>
        <w:trPr>
          <w:cantSplit/>
        </w:trPr>
        <w:tc>
          <w:tcPr>
            <w:tcW w:type="dxa" w:w="79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</w:t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Потребує ситуативної підтримки</w:t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Виконує типове завдання, пояснює окремі кроки.</w:t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Допомога потрібна в окремих моментах.</w:t>
            </w:r>
          </w:p>
        </w:tc>
        <w:tc>
          <w:tcPr>
            <w:tcW w:type="dxa" w:w="170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Проявляє вміння час від часу або у знайомій ситуації.</w:t>
            </w:r>
          </w:p>
        </w:tc>
      </w:tr>
      <w:tr>
        <w:trPr>
          <w:cantSplit/>
        </w:trPr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Д</w:t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Має посутні успіхи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Самостійно застосовує вивчене й пояснює хід роботи.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Підказка мінімальна; перевіряє результат.</w:t>
            </w:r>
          </w:p>
        </w:tc>
        <w:tc>
          <w:tcPr>
            <w:tcW w:type="dxa" w:w="17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Проявляє вміння переважно.</w:t>
            </w:r>
          </w:p>
        </w:tc>
      </w:tr>
      <w:tr>
        <w:trPr>
          <w:cantSplit/>
        </w:trPr>
        <w:tc>
          <w:tcPr>
            <w:tcW w:type="dxa" w:w="79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В</w:t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Має значні успіхи</w:t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Гнучко застосовує вивчене, обґрунтовує та створює.</w:t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Працює самостійно, коригує й рефлексує.</w:t>
            </w:r>
          </w:p>
        </w:tc>
        <w:tc>
          <w:tcPr>
            <w:tcW w:type="dxa" w:w="170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Проявляє вміння стабільно.</w:t>
            </w:r>
          </w:p>
        </w:tc>
      </w:tr>
    </w:tbl>
    <w:p>
      <w:pPr>
        <w:pStyle w:val="Heading1"/>
      </w:pPr>
      <w:r>
        <w:t>Бланк оцінювання роботи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1450"/>
        <w:gridCol w:w="1450"/>
        <w:gridCol w:w="1450"/>
        <w:gridCol w:w="1450"/>
        <w:gridCol w:w="1450"/>
        <w:gridCol w:w="1450"/>
        <w:gridCol w:w="1450"/>
      </w:tblGrid>
      <w:tr>
        <w:trPr>
          <w:tblHeader w:val="true"/>
          <w:cantSplit/>
        </w:trPr>
        <w:tc>
          <w:tcPr>
            <w:tcW w:type="dxa" w:w="1530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306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Що спостерігаємо</w:t>
            </w:r>
          </w:p>
        </w:tc>
        <w:tc>
          <w:tcPr>
            <w:tcW w:type="dxa" w:w="566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</w:t>
            </w:r>
          </w:p>
        </w:tc>
        <w:tc>
          <w:tcPr>
            <w:tcW w:type="dxa" w:w="566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</w:t>
            </w:r>
          </w:p>
        </w:tc>
        <w:tc>
          <w:tcPr>
            <w:tcW w:type="dxa" w:w="566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</w:t>
            </w:r>
          </w:p>
        </w:tc>
        <w:tc>
          <w:tcPr>
            <w:tcW w:type="dxa" w:w="566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</w:t>
            </w:r>
          </w:p>
        </w:tc>
        <w:tc>
          <w:tcPr>
            <w:tcW w:type="dxa" w:w="328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Доказ / коментар</w:t>
            </w:r>
          </w:p>
        </w:tc>
      </w:tr>
      <w:tr>
        <w:trPr>
          <w:cantSplit/>
        </w:trPr>
        <w:tc>
          <w:tcPr>
            <w:tcW w:type="dxa" w:w="153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Розуміння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Розуміє зміст завдання, виділяє головне.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53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Застосування</w:t>
            </w:r>
          </w:p>
        </w:tc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Добирає і виконує доречну дію або спосіб.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328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53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Самостійність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Планує, користується допомогою, перевіряє.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53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Пояснення</w:t>
            </w:r>
          </w:p>
        </w:tc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Пояснює рішення, використовує потрібні слова/позначення.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328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53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Взаємодія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Слухає, висловлюється, виконує роль у спільній роботі.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56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☐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</w:tbl>
    <w:p>
      <w:pPr>
        <w:pStyle w:val="Heading1"/>
      </w:pPr>
      <w:r>
        <w:t>Підсумковий запис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306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Очікуваний результат / робота</w:t>
            </w:r>
          </w:p>
        </w:tc>
        <w:tc>
          <w:tcPr>
            <w:tcW w:type="dxa" w:w="113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Рівень</w:t>
            </w:r>
          </w:p>
        </w:tc>
        <w:tc>
          <w:tcPr>
            <w:tcW w:type="dxa" w:w="294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Сильна сторона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Порядок оцінювання результатів навчання учнів, наказ МОН №722 — https://zakon.rada.gov.ua/laws/show/z0922-26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