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Calibri" w:hAnsi="Calibri"/>
          <w:b/>
          <w:color w:val="2E74B5"/>
          <w:sz w:val="18"/>
        </w:rPr>
        <w:t>ПРАКТИЧНИЙ WORD-ШАБЛОН ДЛЯ ВЧИТЕЛІВ-ПРЕДМЕТНИКІВ</w:t>
      </w:r>
    </w:p>
    <w:p>
      <w:pPr>
        <w:pStyle w:val="Title"/>
        <w:spacing w:after="120"/>
      </w:pPr>
      <w:r>
        <w:t>Адаптація / модифікація предметів</w:t>
      </w:r>
    </w:p>
    <w:p>
      <w:pPr>
        <w:spacing w:after="240"/>
        <w:keepNext/>
      </w:pPr>
      <w:r>
        <w:rPr>
          <w:color w:val="69757F"/>
          <w:sz w:val="24"/>
        </w:rPr>
        <w:t>Додаток 4 • чистий шаблон + приклади формулювань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EF7FA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Що це за документ</w:t>
            </w:r>
          </w:p>
          <w:p>
            <w:pPr>
              <w:spacing w:after="0"/>
            </w:pPr>
            <w:r>
              <w:rPr>
                <w:sz w:val="20"/>
              </w:rPr>
              <w:t>Учителі, які викладають предмети, оформлюють його протягом навчального року. Інформація про адаптації/модифікації, очікувані результати й оцінювання додається до протоколу підсумкового засідання команди супроводу.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Швидке розрізнення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rPr>
          <w:tblHeader w:val="true"/>
          <w:cantSplit/>
        </w:trPr>
        <w:tc>
          <w:tcPr>
            <w:tcW w:type="dxa" w:w="15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Рішення</w:t>
            </w:r>
          </w:p>
        </w:tc>
        <w:tc>
          <w:tcPr>
            <w:tcW w:type="dxa" w:w="2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Що змінюємо</w:t>
            </w:r>
          </w:p>
        </w:tc>
        <w:tc>
          <w:tcPr>
            <w:tcW w:type="dxa" w:w="23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Що з результатами</w:t>
            </w:r>
          </w:p>
        </w:tc>
        <w:tc>
          <w:tcPr>
            <w:tcW w:type="dxa" w:w="26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Короткий приклад</w:t>
            </w:r>
          </w:p>
        </w:tc>
      </w:tr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7"/>
              </w:rPr>
              <w:t>Адаптація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7"/>
              </w:rPr>
              <w:t>Змінюються методи, спосіб подання, рівень складності завдань, темп або підтримка.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7"/>
              </w:rPr>
              <w:t>Загальне навчальне навантаження й очікувані результати не змінюються.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7"/>
              </w:rPr>
              <w:t>«Інструкція по одному кроку; візуальний алгоритм; +30% часу».</w:t>
            </w:r>
          </w:p>
        </w:tc>
      </w:tr>
      <w:tr>
        <w:trPr>
          <w:cantSplit/>
        </w:trPr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  <w:shd w:fill="F3F5F7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7"/>
              </w:rPr>
              <w:t>Модифікація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7"/>
              </w:rPr>
              <w:t>Змінюється зміст навчання: спрощення, виключення, об’єднання тощо.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7"/>
              </w:rPr>
              <w:t>Змінюються навчальне навантаження та очікувані результати.</w:t>
            </w:r>
          </w:p>
        </w:tc>
        <w:tc>
          <w:tcPr>
            <w:tcW w:type="dxa" w:w="2340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7"/>
              </w:rPr>
              <w:t>«Замість усіх типів задач — практичні одно- і двокрокові задачі; окремі очікувані результати».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DF6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Контрольне запитання</w:t>
            </w:r>
          </w:p>
          <w:p>
            <w:pPr>
              <w:spacing w:after="0"/>
            </w:pPr>
            <w:r>
              <w:rPr>
                <w:sz w:val="20"/>
              </w:rPr>
              <w:t>Якщо після змін учень має досягти тих самих очікуваних результатів — це адаптація. Якщо очікувані результати змінюються — це модифікація.</w:t>
            </w:r>
          </w:p>
        </w:tc>
      </w:tr>
    </w:tbl>
    <w:p>
      <w:pPr>
        <w:spacing w:after="0"/>
      </w:pP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Інформація про адаптацію/модифікацію змісту навчальних предметів</w:t>
      </w:r>
    </w:p>
    <w:p>
      <w:pPr>
        <w:jc w:val="center"/>
      </w:pPr>
      <w:r>
        <w:rPr>
          <w:b/>
        </w:rPr>
        <w:t>Очікувані результати навчання та особливості проведення оцінювання</w:t>
      </w:r>
    </w:p>
    <w:p>
      <w:pPr>
        <w:spacing w:after="100"/>
      </w:pPr>
      <w:r>
        <w:rPr>
          <w:b/>
          <w:color w:val="1F4D78"/>
        </w:rPr>
        <w:t xml:space="preserve">Учень / учениця: </w:t>
      </w:r>
      <w:r>
        <w:rPr>
          <w:i/>
          <w:color w:val="69757F"/>
        </w:rPr>
        <w:t>[ПІБ]</w:t>
      </w:r>
    </w:p>
    <w:p>
      <w:pPr>
        <w:spacing w:after="100"/>
      </w:pPr>
      <w:r>
        <w:rPr>
          <w:b/>
          <w:color w:val="1F4D78"/>
        </w:rPr>
        <w:t xml:space="preserve">Клас і навчальний рік: </w:t>
      </w:r>
      <w:r>
        <w:rPr>
          <w:i/>
          <w:color w:val="69757F"/>
        </w:rPr>
        <w:t>[клас] • 2026/2027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  <w:gridCol w:w="2592"/>
      </w:tblGrid>
      <w:tr>
        <w:trPr>
          <w:tblHeader w:val="true"/>
          <w:cantSplit/>
        </w:trPr>
        <w:tc>
          <w:tcPr>
            <w:tcW w:type="dxa" w:w="18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Навчальний предмет (інтегрований курс)*</w:t>
            </w:r>
          </w:p>
        </w:tc>
        <w:tc>
          <w:tcPr>
            <w:tcW w:type="dxa" w:w="34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Адаптація/модифікація</w:t>
            </w:r>
          </w:p>
        </w:tc>
        <w:tc>
          <w:tcPr>
            <w:tcW w:type="dxa" w:w="30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Очікувані результати з урахуванням модифікації</w:t>
            </w:r>
          </w:p>
        </w:tc>
        <w:tc>
          <w:tcPr>
            <w:tcW w:type="dxa" w:w="335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Особливості проведення оцінювання</w:t>
            </w:r>
          </w:p>
        </w:tc>
        <w:tc>
          <w:tcPr>
            <w:tcW w:type="dxa" w:w="19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Відповідальний педагог</w:t>
            </w:r>
          </w:p>
        </w:tc>
      </w:tr>
      <w:tr>
        <w:trPr>
          <w:cantSplit/>
          <w:trHeight w:val="864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[предмет / курс]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[адаптація або модифікація + конкретні дії]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[для адаптації: «не змінюються»; для модифікації — конкретні результати]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[умови, форма, час, засоби, критерії]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[ПІБ педагога]</w:t>
            </w:r>
          </w:p>
        </w:tc>
      </w:tr>
      <w:tr>
        <w:trPr>
          <w:cantSplit/>
          <w:trHeight w:val="864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[предмет / курс]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[адаптація або модифікація + конкретні дії]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[для адаптації: «не змінюються»; для модифікації — конкретні результати]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[умови, форма, час, засоби, критерії]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[ПІБ педагога]</w:t>
            </w:r>
          </w:p>
        </w:tc>
      </w:tr>
      <w:tr>
        <w:trPr>
          <w:cantSplit/>
          <w:trHeight w:val="864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[предмет / курс]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[адаптація або модифікація + конкретні дії]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[для адаптації: «не змінюються»; для модифікації — конкретні результати]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[умови, форма, час, засоби, критерії]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[ПІБ педагога]</w:t>
            </w:r>
          </w:p>
        </w:tc>
      </w:tr>
      <w:tr>
        <w:trPr>
          <w:cantSplit/>
          <w:trHeight w:val="864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[предмет / курс]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[адаптація або модифікація + конкретні дії]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[для адаптації: «не змінюються»; для модифікації — конкретні результати]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[умови, форма, час, засоби, критерії]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[ПІБ педагога]</w:t>
            </w:r>
          </w:p>
        </w:tc>
      </w:tr>
      <w:tr>
        <w:trPr>
          <w:cantSplit/>
          <w:trHeight w:val="864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[предмет / курс]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[адаптація або модифікація + конкретні дії]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[для адаптації: «не змінюються»; для модифікації — конкретні результати]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[умови, форма, час, засоби, критерії]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[ПІБ педагога]</w:t>
            </w:r>
          </w:p>
        </w:tc>
      </w:tr>
      <w:tr>
        <w:trPr>
          <w:cantSplit/>
          <w:trHeight w:val="864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[предмет / курс]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[адаптація або модифікація + конкретні дії]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[для адаптації: «не змінюються»; для модифікації — конкретні результати]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[умови, форма, час, засоби, критерії]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[ПІБ педагога]</w:t>
            </w:r>
          </w:p>
        </w:tc>
      </w:tr>
    </w:tbl>
    <w:p>
      <w:pPr>
        <w:pStyle w:val="Smallnote"/>
      </w:pPr>
      <w:r>
        <w:rPr>
          <w:b/>
        </w:rPr>
        <w:t xml:space="preserve">* </w:t>
      </w:r>
      <w:r>
        <w:t>Послідовність навчальних предметів (інтегрованих курсів) визначається річним навчальним планом класу або індивідуальним навчальним планом учня (за наявності).</w:t>
      </w:r>
    </w:p>
    <w:p>
      <w:pPr>
        <w:sectPr>
          <w:headerReference w:type="default" r:id="rId11"/>
          <w:footerReference w:type="default" r:id="rId12"/>
          <w:pgSz w:w="15840" w:h="12240" w:orient="landscape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Приклади формулювань для заповнення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  <w:gridCol w:w="2592"/>
      </w:tblGrid>
      <w:tr>
        <w:trPr>
          <w:tblHeader w:val="true"/>
          <w:cantSplit/>
        </w:trPr>
        <w:tc>
          <w:tcPr>
            <w:tcW w:type="dxa" w:w="1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Предмет</w:t>
            </w:r>
          </w:p>
        </w:tc>
        <w:tc>
          <w:tcPr>
            <w:tcW w:type="dxa" w:w="3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Адаптація/модифікація</w:t>
            </w:r>
          </w:p>
        </w:tc>
        <w:tc>
          <w:tcPr>
            <w:tcW w:type="dxa" w:w="3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Очікувані результати</w:t>
            </w:r>
          </w:p>
        </w:tc>
        <w:tc>
          <w:tcPr>
            <w:tcW w:type="dxa" w:w="33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Оцінювання</w:t>
            </w:r>
          </w:p>
        </w:tc>
        <w:tc>
          <w:tcPr>
            <w:tcW w:type="dxa" w:w="14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Calibri" w:hAnsi="Calibri"/>
                <w:b/>
                <w:color w:val="1F4D78"/>
                <w:sz w:val="16"/>
              </w:rPr>
              <w:t>Педагог</w:t>
            </w:r>
          </w:p>
        </w:tc>
      </w:tr>
      <w:tr>
        <w:trPr>
          <w:cantSplit/>
          <w:trHeight w:val="1512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Українська мова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Адаптація: коротка інструкція по одному кроку; ключові слова виділені; зразок першого завдання; до 30% додаткового часу; можливість усної відповіді, якщо мета не перевіряє письмо.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Не змінюються.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Поділ завдання на частини; усна або письмова відповідь відповідно до мети; візуальний таймер; оцінюється той самий очікуваний результат.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[ПІБ]</w:t>
            </w:r>
          </w:p>
        </w:tc>
      </w:tr>
      <w:tr>
        <w:trPr>
          <w:cantSplit/>
          <w:trHeight w:val="1512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Математика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Адаптація: картка-алгоритм; схематичний запис умови; менше однотипних тренувальних прикладів за умови перевірки того самого вміння; додатковий час.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Не змінюються.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Учень може користуватися алгоритмом і числовою прямою; інструкція читається вголос; оцінювання поетапне.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[ПІБ]</w:t>
            </w:r>
          </w:p>
        </w:tc>
      </w:tr>
      <w:tr>
        <w:trPr>
          <w:cantSplit/>
          <w:trHeight w:val="1512" w:hRule="atLeast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Я досліджую світ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Модифікація: скорочення обсягу тексту; відбір ключових понять; заміна частини абстрактних завдань практичними; об’єднання близьких тем.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До кінця теми учень називає 3 ознаки досліджуваного об’єкта, встановлює одну причинно-наслідкову залежність за схемою та виконує практичну дію за 3-кроковою інструкцією у 4 із 5 спроб.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sz w:val="16"/>
              </w:rPr>
              <w:t>Практична демонстрація, усна відповідь за опорою, картки із зображеннями; оцінювання за індивідуально визначеними результатами.</w:t>
            </w:r>
          </w:p>
        </w:tc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top"/>
          </w:tcPr>
          <w:p>
            <w:pPr>
              <w:spacing w:after="0" w:line="252" w:lineRule="auto"/>
            </w:pPr>
            <w:r>
              <w:rPr>
                <w:rFonts w:ascii="Calibri" w:hAnsi="Calibri"/>
                <w:i/>
                <w:color w:val="69757F"/>
                <w:sz w:val="16"/>
              </w:rPr>
              <w:t>[ПІБ]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960"/>
      </w:tblGrid>
      <w:tr>
        <w:tc>
          <w:tcPr>
            <w:tcW w:type="dxa" w:w="9360"/>
            <w:shd w:fill="FFF7D6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60"/>
            </w:pPr>
            <w:r>
              <w:rPr>
                <w:b/>
                <w:color w:val="1F4D78"/>
              </w:rPr>
              <w:t>Редагуйте приклади</w:t>
            </w:r>
          </w:p>
          <w:p>
            <w:pPr>
              <w:spacing w:after="0"/>
            </w:pPr>
            <w:r>
              <w:rPr>
                <w:sz w:val="20"/>
              </w:rPr>
              <w:t>Формулювання мають відповідати програмі класу, висновку ІРЦ, ІПР і фактичним потребам учня. Не використовуйте один і той самий перелік для всіх предметів.</w:t>
            </w:r>
          </w:p>
        </w:tc>
      </w:tr>
    </w:tbl>
    <w:p>
      <w:pPr>
        <w:spacing w:after="0"/>
      </w:pPr>
    </w:p>
    <w:p>
      <w:pPr>
        <w:pStyle w:val="Smallnote"/>
        <w:spacing w:before="160"/>
      </w:pPr>
      <w:r>
        <w:rPr>
          <w:b/>
        </w:rPr>
        <w:t xml:space="preserve">Нормативна основа: </w:t>
      </w:r>
      <w:hyperlink r:id="rId15">
        <w:r>
          <w:rPr>
            <w:color w:val="2E74B5"/>
            <w:u w:val="single"/>
          </w:rPr>
          <w:t>постанова Кабінету Міністрів України від 05.02.2026 № 129</w:t>
        </w:r>
      </w:hyperlink>
      <w:r>
        <w:t xml:space="preserve"> (Порядок у новій редакції; набрання чинності — 01.08.2026).</w:t>
      </w:r>
    </w:p>
    <w:sectPr w:rsidR="00FC693F" w:rsidRPr="0006063C" w:rsidSect="00034616">
      <w:headerReference w:type="default" r:id="rId13"/>
      <w:footerReference w:type="default" r:id="rId14"/>
      <w:pgSz w:w="15840" w:h="12240" w:orient="landscape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480"/>
      <w:gridCol w:w="6480"/>
    </w:tblGrid>
    <w:tr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480"/>
      <w:gridCol w:w="6480"/>
    </w:tblGrid>
    <w:tr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color w:val="69757F"/>
              <w:sz w:val="16"/>
            </w:rPr>
            <w:t>Практичний комплект для вчителів • 2026/2027</w:t>
          </w:r>
        </w:p>
      </w:tc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libri" w:hAnsi="Calibri"/>
              <w:color w:val="69757F"/>
              <w:sz w:val="18"/>
            </w:rPr>
            <w:t xml:space="preserve">Сторінка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80"/>
      <w:gridCol w:w="4680"/>
    </w:tblGrid>
    <w:tr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46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ДОДАТОК 4 • ШАБЛОН</w:t>
          </w:r>
        </w:p>
      </w:tc>
    </w:tr>
  </w:tbl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480"/>
      <w:gridCol w:w="6480"/>
    </w:tblGrid>
    <w:tr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ДОДАТОК 4 • ЧИСТИЙ БЛАНК</w:t>
          </w:r>
        </w:p>
      </w:tc>
    </w:tr>
  </w:tbl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480"/>
      <w:gridCol w:w="6480"/>
    </w:tblGrid>
    <w:tr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Calibri" w:hAnsi="Calibri"/>
              <w:b/>
              <w:color w:val="2E74B5"/>
              <w:sz w:val="18"/>
            </w:rPr>
            <w:t>ОСВІТА+</w:t>
          </w:r>
        </w:p>
      </w:tc>
      <w:tc>
        <w:tcPr>
          <w:tcW w:type="dxa" w:w="648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  <w:jc w:val="right"/>
          </w:pPr>
          <w:r>
            <w:rPr>
              <w:rFonts w:ascii="Calibri" w:hAnsi="Calibri"/>
              <w:color w:val="69757F"/>
              <w:sz w:val="18"/>
            </w:rPr>
            <w:t>ДОДАТОК 4 • ПРИКЛАДИ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20" w:line="300" w:lineRule="auto"/>
    </w:pPr>
    <w:rPr>
      <w:rFonts w:ascii="Calibri" w:hAnsi="Calibri"/>
      <w:color w:val="1D25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64" w:lineRule="auto"/>
    </w:pPr>
    <w:rPr>
      <w:rFonts w:ascii="Calibri" w:hAnsi="Calibri"/>
      <w:color w:val="69757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yperlink" Target="https://www.kmu.gov.ua/npas/pro-vnesennia-zmin-do-poriadku-orhanizatsii-inkliuzyvnoho-navchannia-u-zakladakh-zahalnoi-serednoi-osvity-129-05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 — адаптація/модифікація предметів: шаблон і приклади</dc:title>
  <dc:subject>Редагований шаблон інформації про адаптацію/модифікацію та приклади для педагогів</dc:subject>
  <dc:creator>Освіта+</dc:creator>
  <cp:keywords>ІПР, інклюзивне навчання, 2026/2027, шаблон Word, додаток 3, додаток 4</cp:keywords>
  <dc:description>Підготовлено на основі постанови Кабінету Міністрів України від 05.02.2026 № 129.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