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Загальні критерії: 1–12 балів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Практична матриця для поточного й підсумкового оцінювання у 5–9 класах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5080"/>
      </w:tblGrid>
      <w:tr>
        <w:trPr>
          <w:cantSplit/>
        </w:trPr>
        <w:tc>
          <w:tcPr>
            <w:tcW w:type="dxa" w:w="14116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учителі всіх освітніх галузей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5080"/>
      </w:tblGrid>
      <w:tr>
        <w:trPr>
          <w:cantSplit/>
        </w:trPr>
        <w:tc>
          <w:tcPr>
            <w:tcW w:type="dxa" w:w="14116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Це авторський редагований шаблон, укладений за логікою чотирьох рівнів і п’яти інтегрованих показників наказу №722. Він не замінює предметні критерії та не є дослівним додатком до наказу.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016"/>
        <w:gridCol w:w="3016"/>
        <w:gridCol w:w="3016"/>
        <w:gridCol w:w="3016"/>
        <w:gridCol w:w="3016"/>
      </w:tblGrid>
      <w:tr>
        <w:trPr>
          <w:tblHeader w:val="true"/>
          <w:cantSplit/>
        </w:trPr>
        <w:tc>
          <w:tcPr>
            <w:tcW w:type="dxa" w:w="566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Бал</w:t>
            </w:r>
          </w:p>
        </w:tc>
        <w:tc>
          <w:tcPr>
            <w:tcW w:type="dxa" w:w="850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Рівень</w:t>
            </w:r>
          </w:p>
        </w:tc>
        <w:tc>
          <w:tcPr>
            <w:tcW w:type="dxa" w:w="4535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Пізнавальні процеси й результат</w:t>
            </w:r>
          </w:p>
        </w:tc>
        <w:tc>
          <w:tcPr>
            <w:tcW w:type="dxa" w:w="413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Діяльність, самостійність, частота</w:t>
            </w:r>
          </w:p>
        </w:tc>
        <w:tc>
          <w:tcPr>
            <w:tcW w:type="dxa" w:w="4025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Комунікація та взаємодія</w:t>
            </w:r>
          </w:p>
        </w:tc>
      </w:tr>
      <w:tr>
        <w:trPr>
          <w:cantSplit/>
        </w:trPr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1</w:t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Розпізнає окремий елемент змісту; відтворює фрагмент після прямої підказки.</w:t>
            </w:r>
          </w:p>
        </w:tc>
        <w:tc>
          <w:tcPr>
            <w:tcW w:type="dxa" w:w="41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Постійний покроковий супровід; дія нестійка.</w:t>
            </w:r>
          </w:p>
        </w:tc>
        <w:tc>
          <w:tcPr>
            <w:tcW w:type="dxa" w:w="402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Відповідь уривчаста; взаємодіє після спонукання.</w:t>
            </w:r>
          </w:p>
        </w:tc>
      </w:tr>
      <w:tr>
        <w:trPr>
          <w:cantSplit/>
        </w:trPr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2</w:t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</w:t>
            </w:r>
          </w:p>
        </w:tc>
        <w:tc>
          <w:tcPr>
            <w:tcW w:type="dxa" w:w="453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Відтворює базове поняття або дію за готовим зразком.</w:t>
            </w:r>
          </w:p>
        </w:tc>
        <w:tc>
          <w:tcPr>
            <w:tcW w:type="dxa" w:w="413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Потребує частих підказок і повторного пояснення.</w:t>
            </w:r>
          </w:p>
        </w:tc>
        <w:tc>
          <w:tcPr>
            <w:tcW w:type="dxa" w:w="402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Називає окремі факти; рідко пояснює зв’язки.</w:t>
            </w:r>
          </w:p>
        </w:tc>
      </w:tr>
      <w:tr>
        <w:trPr>
          <w:cantSplit/>
        </w:trPr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3</w:t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Виконує просте типове завдання за зразком, припускається суттєвих помилок.</w:t>
            </w:r>
          </w:p>
        </w:tc>
        <w:tc>
          <w:tcPr>
            <w:tcW w:type="dxa" w:w="41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Працює під керівництвом; частково виправляє після вказівки.</w:t>
            </w:r>
          </w:p>
        </w:tc>
        <w:tc>
          <w:tcPr>
            <w:tcW w:type="dxa" w:w="402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Може коротко повідомити результат; участь нестійка.</w:t>
            </w:r>
          </w:p>
        </w:tc>
      </w:tr>
      <w:tr>
        <w:trPr>
          <w:cantSplit/>
        </w:trPr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4</w:t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</w:t>
            </w:r>
          </w:p>
        </w:tc>
        <w:tc>
          <w:tcPr>
            <w:tcW w:type="dxa" w:w="453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Розуміє основний зміст і виконує частину типового завдання.</w:t>
            </w:r>
          </w:p>
        </w:tc>
        <w:tc>
          <w:tcPr>
            <w:tcW w:type="dxa" w:w="413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Ситуативна допомога потрібна для вибору дії та перевірки.</w:t>
            </w:r>
          </w:p>
        </w:tc>
        <w:tc>
          <w:tcPr>
            <w:tcW w:type="dxa" w:w="402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Відповідає простими реченнями; долучається до спільної роботи.</w:t>
            </w:r>
          </w:p>
        </w:tc>
      </w:tr>
      <w:tr>
        <w:trPr>
          <w:cantSplit/>
        </w:trPr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5</w:t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Застосовує вивчене за знайомим алгоритмом; пояснює окремі кроки.</w:t>
            </w:r>
          </w:p>
        </w:tc>
        <w:tc>
          <w:tcPr>
            <w:tcW w:type="dxa" w:w="41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Переважно діє за планом; виправляє очевидні помилки з підказкою.</w:t>
            </w:r>
          </w:p>
        </w:tc>
        <w:tc>
          <w:tcPr>
            <w:tcW w:type="dxa" w:w="402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Використовує базові терміни; слухає й реагує на запитання.</w:t>
            </w:r>
          </w:p>
        </w:tc>
      </w:tr>
      <w:tr>
        <w:trPr>
          <w:cantSplit/>
        </w:trPr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6</w:t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</w:t>
            </w:r>
          </w:p>
        </w:tc>
        <w:tc>
          <w:tcPr>
            <w:tcW w:type="dxa" w:w="453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Виконує типове завдання в цілому, установлює прості зв’язки.</w:t>
            </w:r>
          </w:p>
        </w:tc>
        <w:tc>
          <w:tcPr>
            <w:tcW w:type="dxa" w:w="413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Потребує допомоги в складнішому кроці або самоперевірці.</w:t>
            </w:r>
          </w:p>
        </w:tc>
        <w:tc>
          <w:tcPr>
            <w:tcW w:type="dxa" w:w="402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Пояснює послідовність; співпрацює у визначеній ролі.</w:t>
            </w:r>
          </w:p>
        </w:tc>
      </w:tr>
      <w:tr>
        <w:trPr>
          <w:cantSplit/>
        </w:trPr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7</w:t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Самостійно виконує стандартне завдання, добирає знайомий спосіб.</w:t>
            </w:r>
          </w:p>
        </w:tc>
        <w:tc>
          <w:tcPr>
            <w:tcW w:type="dxa" w:w="41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Планує основні кроки; знаходить і виправляє частину помилок.</w:t>
            </w:r>
          </w:p>
        </w:tc>
        <w:tc>
          <w:tcPr>
            <w:tcW w:type="dxa" w:w="402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Логічно пояснює рішення; конструктивно взаємодіє.</w:t>
            </w:r>
          </w:p>
        </w:tc>
      </w:tr>
      <w:tr>
        <w:trPr>
          <w:cantSplit/>
        </w:trPr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8</w:t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</w:t>
            </w:r>
          </w:p>
        </w:tc>
        <w:tc>
          <w:tcPr>
            <w:tcW w:type="dxa" w:w="453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Застосовує знання у зміненій знайомій ситуації, наводить доречні докази.</w:t>
            </w:r>
          </w:p>
        </w:tc>
        <w:tc>
          <w:tcPr>
            <w:tcW w:type="dxa" w:w="413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Працює переважно самостійно; перевіряє результат за критеріями.</w:t>
            </w:r>
          </w:p>
        </w:tc>
        <w:tc>
          <w:tcPr>
            <w:tcW w:type="dxa" w:w="402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Аргументує думку; враховує позиції інших.</w:t>
            </w:r>
          </w:p>
        </w:tc>
      </w:tr>
      <w:tr>
        <w:trPr>
          <w:cantSplit/>
        </w:trPr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9</w:t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Поєднує способи дій, аналізує дані й обґрунтовує висновок.</w:t>
            </w:r>
          </w:p>
        </w:tc>
        <w:tc>
          <w:tcPr>
            <w:tcW w:type="dxa" w:w="41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Самостійно коригує хід роботи; допомога мінімальна.</w:t>
            </w:r>
          </w:p>
        </w:tc>
        <w:tc>
          <w:tcPr>
            <w:tcW w:type="dxa" w:w="402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Веде змістовний діалог, надає коректний зворотний зв’язок.</w:t>
            </w:r>
          </w:p>
        </w:tc>
      </w:tr>
      <w:tr>
        <w:trPr>
          <w:cantSplit/>
        </w:trPr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10</w:t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</w:t>
            </w:r>
          </w:p>
        </w:tc>
        <w:tc>
          <w:tcPr>
            <w:tcW w:type="dxa" w:w="453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Розв’язує складне або багатокрокове завдання, переносить уміння в нову ситуацію.</w:t>
            </w:r>
          </w:p>
        </w:tc>
        <w:tc>
          <w:tcPr>
            <w:tcW w:type="dxa" w:w="413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Самостійно планує, контролює й оцінює результат.</w:t>
            </w:r>
          </w:p>
        </w:tc>
        <w:tc>
          <w:tcPr>
            <w:tcW w:type="dxa" w:w="402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Чітко обґрунтовує, доречно використовує предметну мову.</w:t>
            </w:r>
          </w:p>
        </w:tc>
      </w:tr>
      <w:tr>
        <w:trPr>
          <w:cantSplit/>
        </w:trPr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11</w:t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</w:t>
            </w:r>
          </w:p>
        </w:tc>
        <w:tc>
          <w:tcPr>
            <w:tcW w:type="dxa" w:w="45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Критично оцінює інформацію, порівнює альтернативи, пропонує обґрунтоване рішення.</w:t>
            </w:r>
          </w:p>
        </w:tc>
        <w:tc>
          <w:tcPr>
            <w:tcW w:type="dxa" w:w="41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Гнучко змінює стратегію, самостійно усуває недоліки.</w:t>
            </w:r>
          </w:p>
        </w:tc>
        <w:tc>
          <w:tcPr>
            <w:tcW w:type="dxa" w:w="402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Ініціює конструктивну взаємодію, підтримує спільний результат.</w:t>
            </w:r>
          </w:p>
        </w:tc>
      </w:tr>
      <w:tr>
        <w:trPr>
          <w:cantSplit/>
        </w:trPr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12</w:t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</w:t>
            </w:r>
          </w:p>
        </w:tc>
        <w:tc>
          <w:tcPr>
            <w:tcW w:type="dxa" w:w="453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Створює оригінальний продукт або спосіб розв’язання, узагальнює й переносить знання.</w:t>
            </w:r>
          </w:p>
        </w:tc>
        <w:tc>
          <w:tcPr>
            <w:tcW w:type="dxa" w:w="413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Стабільно саморегулює діяльність, глибоко рефлексує.</w:t>
            </w:r>
          </w:p>
        </w:tc>
        <w:tc>
          <w:tcPr>
            <w:tcW w:type="dxa" w:w="402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Переконливо комунікує, інтегрує різні позиції та докази.</w:t>
            </w:r>
          </w:p>
        </w:tc>
      </w:tr>
    </w:tbl>
    <w:p>
      <w:pPr>
        <w:pStyle w:val="Heading1"/>
      </w:pPr>
      <w:r>
        <w:t>Як обрати конкретний бал усередині рівня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7540"/>
        <w:gridCol w:w="7540"/>
      </w:tblGrid>
      <w:tr>
        <w:trPr>
          <w:tblHeader w:val="true"/>
          <w:cantSplit/>
        </w:trPr>
        <w:tc>
          <w:tcPr>
            <w:tcW w:type="dxa" w:w="238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Позиція</w:t>
            </w:r>
          </w:p>
        </w:tc>
        <w:tc>
          <w:tcPr>
            <w:tcW w:type="dxa" w:w="11735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Орієнтир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Нижня межа</w:t>
            </w:r>
          </w:p>
        </w:tc>
        <w:tc>
          <w:tcPr>
            <w:tcW w:type="dxa" w:w="117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Ознака проявляється епізодично; допомога ближча до більшого обсягу.</w:t>
            </w:r>
          </w:p>
        </w:tc>
      </w:tr>
      <w:tr>
        <w:trPr>
          <w:cantSplit/>
        </w:trPr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Середина</w:t>
            </w:r>
          </w:p>
        </w:tc>
        <w:tc>
          <w:tcPr>
            <w:tcW w:type="dxa" w:w="1173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Ознака проявляється у більшості типових ситуацій; підтримка помірна.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Верхня межа</w:t>
            </w:r>
          </w:p>
        </w:tc>
        <w:tc>
          <w:tcPr>
            <w:tcW w:type="dxa" w:w="117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Ознака проявляється стабільно; учень наближається до наступного рівня самостійності й складності.</w:t>
            </w:r>
          </w:p>
        </w:tc>
      </w:tr>
    </w:tbl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Порядок оцінювання результатів навчання учнів, наказ МОН №722 — https://zakon.rada.gov.ua/laws/show/z0922-26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