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Шкали оцінювання у 1–9 класах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Що і якою шкалою оцінюємо у 2026/2027 навчальному році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учителі початкової та базової школи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pStyle w:val="Heading1"/>
      </w:pPr>
      <w:r>
        <w:t>Швидка таблиця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537"/>
        <w:gridCol w:w="2537"/>
        <w:gridCol w:w="2537"/>
        <w:gridCol w:w="2537"/>
      </w:tblGrid>
      <w:tr>
        <w:trPr>
          <w:tblHeader w:val="true"/>
          <w:cantSplit/>
        </w:trPr>
        <w:tc>
          <w:tcPr>
            <w:tcW w:type="dxa" w:w="1020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Класи</w:t>
            </w:r>
          </w:p>
        </w:tc>
        <w:tc>
          <w:tcPr>
            <w:tcW w:type="dxa" w:w="181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Вид</w:t>
            </w:r>
          </w:p>
        </w:tc>
        <w:tc>
          <w:tcPr>
            <w:tcW w:type="dxa" w:w="226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Шкала</w:t>
            </w:r>
          </w:p>
        </w:tc>
        <w:tc>
          <w:tcPr>
            <w:tcW w:type="dxa" w:w="5045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Практичне пояснення</w:t>
            </w:r>
          </w:p>
        </w:tc>
      </w:tr>
      <w:tr>
        <w:trPr>
          <w:cantSplit/>
        </w:trPr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1–2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Формувальне</w:t>
            </w:r>
          </w:p>
        </w:tc>
        <w:tc>
          <w:tcPr>
            <w:tcW w:type="dxa" w:w="22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Словесна</w:t>
            </w:r>
          </w:p>
        </w:tc>
        <w:tc>
          <w:tcPr>
            <w:tcW w:type="dxa" w:w="50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Короткий опис поступу й наступного кроку.</w:t>
            </w:r>
          </w:p>
        </w:tc>
      </w:tr>
      <w:tr>
        <w:trPr>
          <w:cantSplit/>
        </w:trPr>
        <w:tc>
          <w:tcPr>
            <w:tcW w:type="dxa" w:w="102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1–2</w:t>
            </w:r>
          </w:p>
        </w:tc>
        <w:tc>
          <w:tcPr>
            <w:tcW w:type="dxa" w:w="181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Поточне</w:t>
            </w:r>
          </w:p>
        </w:tc>
        <w:tc>
          <w:tcPr>
            <w:tcW w:type="dxa" w:w="226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Словесна</w:t>
            </w:r>
          </w:p>
        </w:tc>
        <w:tc>
          <w:tcPr>
            <w:tcW w:type="dxa" w:w="504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Без балів і рівнів.</w:t>
            </w:r>
          </w:p>
        </w:tc>
      </w:tr>
      <w:tr>
        <w:trPr>
          <w:cantSplit/>
        </w:trPr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1–2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Підсумкове</w:t>
            </w:r>
          </w:p>
        </w:tc>
        <w:tc>
          <w:tcPr>
            <w:tcW w:type="dxa" w:w="22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Словесна</w:t>
            </w:r>
          </w:p>
        </w:tc>
        <w:tc>
          <w:tcPr>
            <w:tcW w:type="dxa" w:w="50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Узагальнена характеристика результатів.</w:t>
            </w:r>
          </w:p>
        </w:tc>
      </w:tr>
      <w:tr>
        <w:trPr>
          <w:cantSplit/>
        </w:trPr>
        <w:tc>
          <w:tcPr>
            <w:tcW w:type="dxa" w:w="102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3–4</w:t>
            </w:r>
          </w:p>
        </w:tc>
        <w:tc>
          <w:tcPr>
            <w:tcW w:type="dxa" w:w="181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Формувальне</w:t>
            </w:r>
          </w:p>
        </w:tc>
        <w:tc>
          <w:tcPr>
            <w:tcW w:type="dxa" w:w="226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Словесна</w:t>
            </w:r>
          </w:p>
        </w:tc>
        <w:tc>
          <w:tcPr>
            <w:tcW w:type="dxa" w:w="504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Зворотний зв’язок під час навчання.</w:t>
            </w:r>
          </w:p>
        </w:tc>
      </w:tr>
      <w:tr>
        <w:trPr>
          <w:cantSplit/>
        </w:trPr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3–4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Поточне</w:t>
            </w:r>
          </w:p>
        </w:tc>
        <w:tc>
          <w:tcPr>
            <w:tcW w:type="dxa" w:w="22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Словесна або рівнева</w:t>
            </w:r>
          </w:p>
        </w:tc>
        <w:tc>
          <w:tcPr>
            <w:tcW w:type="dxa" w:w="50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Спосіб визначає заклад/учитель у межах правил.</w:t>
            </w:r>
          </w:p>
        </w:tc>
      </w:tr>
      <w:tr>
        <w:trPr>
          <w:cantSplit/>
        </w:trPr>
        <w:tc>
          <w:tcPr>
            <w:tcW w:type="dxa" w:w="102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3–4</w:t>
            </w:r>
          </w:p>
        </w:tc>
        <w:tc>
          <w:tcPr>
            <w:tcW w:type="dxa" w:w="181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Підсумкове</w:t>
            </w:r>
          </w:p>
        </w:tc>
        <w:tc>
          <w:tcPr>
            <w:tcW w:type="dxa" w:w="226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Рівнева</w:t>
            </w:r>
          </w:p>
        </w:tc>
        <w:tc>
          <w:tcPr>
            <w:tcW w:type="dxa" w:w="504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П, С, Д або В.</w:t>
            </w:r>
          </w:p>
        </w:tc>
      </w:tr>
      <w:tr>
        <w:trPr>
          <w:cantSplit/>
        </w:trPr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5–9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Формувальне</w:t>
            </w:r>
          </w:p>
        </w:tc>
        <w:tc>
          <w:tcPr>
            <w:tcW w:type="dxa" w:w="22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Словесна, рівнева або бальна</w:t>
            </w:r>
          </w:p>
        </w:tc>
        <w:tc>
          <w:tcPr>
            <w:tcW w:type="dxa" w:w="50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Результат не враховують під час підсумкового оцінювання.</w:t>
            </w:r>
          </w:p>
        </w:tc>
      </w:tr>
      <w:tr>
        <w:trPr>
          <w:cantSplit/>
        </w:trPr>
        <w:tc>
          <w:tcPr>
            <w:tcW w:type="dxa" w:w="102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5–9</w:t>
            </w:r>
          </w:p>
        </w:tc>
        <w:tc>
          <w:tcPr>
            <w:tcW w:type="dxa" w:w="181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Поточне</w:t>
            </w:r>
          </w:p>
        </w:tc>
        <w:tc>
          <w:tcPr>
            <w:tcW w:type="dxa" w:w="226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12-бальна</w:t>
            </w:r>
          </w:p>
        </w:tc>
        <w:tc>
          <w:tcPr>
            <w:tcW w:type="dxa" w:w="504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1–12 балів за оприлюдненими критеріями.</w:t>
            </w:r>
          </w:p>
        </w:tc>
      </w:tr>
      <w:tr>
        <w:trPr>
          <w:cantSplit/>
        </w:trPr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5–9</w:t>
            </w:r>
          </w:p>
        </w:tc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Підсумкове</w:t>
            </w:r>
          </w:p>
        </w:tc>
        <w:tc>
          <w:tcPr>
            <w:tcW w:type="dxa" w:w="226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12-бальна</w:t>
            </w:r>
          </w:p>
        </w:tc>
        <w:tc>
          <w:tcPr>
            <w:tcW w:type="dxa" w:w="504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  <w:t>1–12 балів на основі належних свідчень навчання.</w:t>
            </w:r>
          </w:p>
        </w:tc>
      </w:tr>
    </w:tbl>
    <w:p>
      <w:pPr>
        <w:pStyle w:val="Heading1"/>
      </w:pPr>
      <w:r>
        <w:t>Рівнева шкала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537"/>
        <w:gridCol w:w="2537"/>
        <w:gridCol w:w="2537"/>
        <w:gridCol w:w="2537"/>
      </w:tblGrid>
      <w:tr>
        <w:trPr>
          <w:tblHeader w:val="true"/>
          <w:cantSplit/>
        </w:trPr>
        <w:tc>
          <w:tcPr>
            <w:tcW w:type="dxa" w:w="963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Позначка</w:t>
            </w:r>
          </w:p>
        </w:tc>
        <w:tc>
          <w:tcPr>
            <w:tcW w:type="dxa" w:w="963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Бали</w:t>
            </w:r>
          </w:p>
        </w:tc>
        <w:tc>
          <w:tcPr>
            <w:tcW w:type="dxa" w:w="340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Назва рівня</w:t>
            </w:r>
          </w:p>
        </w:tc>
        <w:tc>
          <w:tcPr>
            <w:tcW w:type="dxa" w:w="481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Як читати</w:t>
            </w:r>
          </w:p>
        </w:tc>
      </w:tr>
      <w:tr>
        <w:trPr>
          <w:cantSplit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П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1–3</w:t>
            </w:r>
          </w:p>
        </w:tc>
        <w:tc>
          <w:tcPr>
            <w:tcW w:type="dxa" w:w="34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Потребує істотної підтримки вчителя</w:t>
            </w:r>
          </w:p>
        </w:tc>
        <w:tc>
          <w:tcPr>
            <w:tcW w:type="dxa" w:w="481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Дія можлива переважно за зразком, підказками й покроковим супроводом.</w:t>
            </w:r>
          </w:p>
        </w:tc>
      </w:tr>
      <w:tr>
        <w:trPr>
          <w:cantSplit/>
        </w:trPr>
        <w:tc>
          <w:tcPr>
            <w:tcW w:type="dxa" w:w="96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С</w:t>
            </w:r>
          </w:p>
        </w:tc>
        <w:tc>
          <w:tcPr>
            <w:tcW w:type="dxa" w:w="96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4–6</w:t>
            </w:r>
          </w:p>
        </w:tc>
        <w:tc>
          <w:tcPr>
            <w:tcW w:type="dxa" w:w="340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Потребує ситуативної підтримки вчителя</w:t>
            </w:r>
          </w:p>
        </w:tc>
        <w:tc>
          <w:tcPr>
            <w:tcW w:type="dxa" w:w="481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Виконує типові завдання; допомога потрібна в окремих моментах.</w:t>
            </w:r>
          </w:p>
        </w:tc>
      </w:tr>
      <w:tr>
        <w:trPr>
          <w:cantSplit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Д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7–9</w:t>
            </w:r>
          </w:p>
        </w:tc>
        <w:tc>
          <w:tcPr>
            <w:tcW w:type="dxa" w:w="34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Має посутні успіхи</w:t>
            </w:r>
          </w:p>
        </w:tc>
        <w:tc>
          <w:tcPr>
            <w:tcW w:type="dxa" w:w="481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Переважно працює самостійно, пояснює хід роботи, застосовує вивчене.</w:t>
            </w:r>
          </w:p>
        </w:tc>
      </w:tr>
      <w:tr>
        <w:trPr>
          <w:cantSplit/>
        </w:trPr>
        <w:tc>
          <w:tcPr>
            <w:tcW w:type="dxa" w:w="96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В</w:t>
            </w:r>
          </w:p>
        </w:tc>
        <w:tc>
          <w:tcPr>
            <w:tcW w:type="dxa" w:w="96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10–12</w:t>
            </w:r>
          </w:p>
        </w:tc>
        <w:tc>
          <w:tcPr>
            <w:tcW w:type="dxa" w:w="340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Має значні успіхи</w:t>
            </w:r>
          </w:p>
        </w:tc>
        <w:tc>
          <w:tcPr>
            <w:tcW w:type="dxa" w:w="481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Діє самостійно й гнучко, обґрунтовує, переносить знання та рефлексує.</w:t>
            </w:r>
          </w:p>
        </w:tc>
      </w:tr>
    </w:tbl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Важливо: у 2026/2027 навчальному році новий порядок застосовують у 1–9 класах. Розширення на 10 і 11–12 класи відбувається поетапно. Формулювання в останній колонці — практичне пояснення, а не цитата з наказу.</w:t>
            </w:r>
          </w:p>
        </w:tc>
      </w:tr>
    </w:tbl>
    <w:p>
      <w:pPr>
        <w:spacing w:after="0"/>
      </w:pPr>
    </w:p>
    <w:p>
      <w:pPr>
        <w:pStyle w:val="Heading1"/>
      </w:pPr>
      <w:r>
        <w:t>П’ять орієнтирів для спостереження</w:t>
      </w:r>
    </w:p>
    <w:p>
      <w:pPr>
        <w:pStyle w:val="ListBullet"/>
      </w:pPr>
      <w:r>
        <w:t>Пізнавальні процеси: розуміння, застосування, аналіз, оцінювання, створення.</w:t>
      </w:r>
    </w:p>
    <w:p>
      <w:pPr>
        <w:pStyle w:val="ListBullet"/>
      </w:pPr>
      <w:r>
        <w:t>Навчальна діяльність: як учень планує, виконує та перевіряє роботу.</w:t>
      </w:r>
    </w:p>
    <w:p>
      <w:pPr>
        <w:pStyle w:val="ListBullet"/>
      </w:pPr>
      <w:r>
        <w:t>Самостійність: скільки і якої підтримки потребує.</w:t>
      </w:r>
    </w:p>
    <w:p>
      <w:pPr>
        <w:pStyle w:val="ListBullet"/>
      </w:pPr>
      <w:r>
        <w:t>Комунікація та взаємодія: як пояснює, слухає, співпрацює, аргументує.</w:t>
      </w:r>
    </w:p>
    <w:p>
      <w:pPr>
        <w:pStyle w:val="ListBullet"/>
      </w:pPr>
      <w:r>
        <w:t>Частота прояву: випадково, час від часу, переважно або стабільно.</w:t>
      </w:r>
    </w:p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Порядок оцінювання результатів навчання учнів, наказ МОН №722 від 04.05.2026 — https://zakon.rada.gov.ua/laws/show/z0922-26</w:t>
      </w:r>
    </w:p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Зміни, наказ МОН №1001 від 29.06.2026 — https://zakon.rada.gov.ua/laws/show/z0970-26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